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1" w:after="0" w:afterAutospacing="1" w:line="640" w:lineRule="atLeast"/>
        <w:ind w:left="0" w:right="0"/>
        <w:jc w:val="center"/>
      </w:pPr>
      <w:r>
        <w:rPr>
          <w:rStyle w:val="4"/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  <w:t> 增城区财政局行政事业性收费目录清单</w:t>
      </w:r>
    </w:p>
    <w:p>
      <w:pPr>
        <w:keepNext w:val="0"/>
        <w:keepLines w:val="0"/>
        <w:widowControl/>
        <w:suppressLineNumbers w:val="0"/>
        <w:spacing w:before="0" w:beforeAutospacing="1" w:after="0" w:afterAutospacing="1" w:line="640" w:lineRule="atLeast"/>
        <w:ind w:left="0" w:right="0"/>
        <w:jc w:val="center"/>
      </w:pPr>
      <w:r>
        <w:rPr>
          <w:rFonts w:hint="eastAsia" w:ascii="宋体" w:hAnsi="宋体" w:eastAsia="宋体" w:cs="宋体"/>
          <w:spacing w:val="20"/>
          <w:kern w:val="0"/>
          <w:sz w:val="21"/>
          <w:szCs w:val="21"/>
          <w:lang w:val="en-US" w:eastAsia="zh-CN" w:bidi="ar"/>
        </w:rPr>
        <w:t>（2017年7月）</w:t>
      </w:r>
    </w:p>
    <w:tbl>
      <w:tblPr>
        <w:tblW w:w="8518" w:type="dxa"/>
        <w:jc w:val="center"/>
        <w:tblInd w:w="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2"/>
        <w:gridCol w:w="2065"/>
        <w:gridCol w:w="978"/>
        <w:gridCol w:w="1316"/>
        <w:gridCol w:w="2057"/>
        <w:gridCol w:w="15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  <w:jc w:val="center"/>
        </w:trPr>
        <w:tc>
          <w:tcPr>
            <w:tcW w:w="60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spacing w:val="-10"/>
                <w:kern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20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spacing w:val="40"/>
                <w:kern w:val="0"/>
                <w:sz w:val="21"/>
                <w:szCs w:val="21"/>
                <w:lang w:val="en-US" w:eastAsia="zh-CN" w:bidi="ar"/>
              </w:rPr>
              <w:t>收费项目</w:t>
            </w:r>
          </w:p>
        </w:tc>
        <w:tc>
          <w:tcPr>
            <w:tcW w:w="9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val="en-US" w:eastAsia="zh-CN" w:bidi="ar"/>
              </w:rPr>
              <w:t>计算单位</w:t>
            </w:r>
          </w:p>
        </w:tc>
        <w:tc>
          <w:tcPr>
            <w:tcW w:w="131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val="en-US" w:eastAsia="zh-CN" w:bidi="ar"/>
              </w:rPr>
              <w:t>收费标准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val="en-US" w:eastAsia="zh-CN" w:bidi="ar"/>
              </w:rPr>
              <w:t>（元）</w:t>
            </w:r>
          </w:p>
        </w:tc>
        <w:tc>
          <w:tcPr>
            <w:tcW w:w="205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spacing w:val="60"/>
                <w:kern w:val="0"/>
                <w:sz w:val="21"/>
                <w:szCs w:val="21"/>
                <w:lang w:val="en-US" w:eastAsia="zh-CN" w:bidi="ar"/>
              </w:rPr>
              <w:t>收费依据文号</w:t>
            </w:r>
          </w:p>
        </w:tc>
        <w:tc>
          <w:tcPr>
            <w:tcW w:w="1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val="en-US" w:eastAsia="zh-CN" w:bidi="ar"/>
              </w:rPr>
              <w:t>备   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6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会计专业技术资格考试考务费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粤发改价函【2016】64号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6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①实施无纸化的初级会计专业技术资格考试费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科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75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6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②实施无纸化的中级会计专业技术资格考试费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科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75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6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bookmarkStart w:id="0" w:name="_Hlk489451821"/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bookmarkEnd w:id="0"/>
          </w:p>
        </w:tc>
        <w:tc>
          <w:tcPr>
            <w:tcW w:w="2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会计从业资格考试费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default" w:ascii="Verdana" w:hAnsi="Verdana" w:cs="Verdana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default" w:ascii="Verdana" w:hAnsi="Verdana" w:cs="Verdana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粤价函【2010】131号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default" w:ascii="Verdana" w:hAnsi="Verdana" w:cs="Verdana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6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①专业知识考试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科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65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jc w:val="center"/>
        </w:trPr>
        <w:tc>
          <w:tcPr>
            <w:tcW w:w="6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②技能知识考试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科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65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6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2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会计人员继续教育培训费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穗价函〔2003〕143号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6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①会计理论性培训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人.课时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1" w:after="0" w:afterAutospacing="1" w:line="26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6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②会计技能性培训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人.课时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6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2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会计人员继续教育培训费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穗价【2012】17号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6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①会计理论性培训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人.课时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1" w:after="0" w:afterAutospacing="1" w:line="26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  <w:jc w:val="center"/>
        </w:trPr>
        <w:tc>
          <w:tcPr>
            <w:tcW w:w="6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②会计技能性培训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人.课时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  <w:jc w:val="center"/>
        </w:trPr>
        <w:tc>
          <w:tcPr>
            <w:tcW w:w="6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2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培训教材资料费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按实际成本收取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穗价函〔2003〕143号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</w:tbl>
    <w:p>
      <w:pPr>
        <w:keepNext w:val="0"/>
        <w:keepLines w:val="0"/>
        <w:widowControl/>
        <w:suppressLineNumbers w:val="0"/>
        <w:spacing w:before="0" w:beforeAutospacing="1" w:after="0" w:afterAutospacing="1" w:line="640" w:lineRule="atLeast"/>
        <w:ind w:left="0" w:right="0"/>
        <w:jc w:val="left"/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br w:type="textWrapping"/>
      </w:r>
      <w:r>
        <w:rPr>
          <w:rFonts w:hint="default" w:ascii="Verdana" w:hAnsi="Verdana" w:cs="Verdana" w:eastAsiaTheme="minorEastAsia"/>
          <w:kern w:val="0"/>
          <w:sz w:val="24"/>
          <w:szCs w:val="24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pacing w:before="0" w:beforeAutospacing="1" w:after="0" w:afterAutospacing="1" w:line="640" w:lineRule="atLeast"/>
        <w:ind w:left="0" w:right="0"/>
        <w:jc w:val="center"/>
        <w:rPr>
          <w:rStyle w:val="4"/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0" w:beforeAutospacing="1" w:after="0" w:afterAutospacing="1" w:line="640" w:lineRule="atLeast"/>
        <w:ind w:left="0" w:right="0"/>
        <w:jc w:val="center"/>
      </w:pPr>
      <w:bookmarkStart w:id="1" w:name="_GoBack"/>
      <w:bookmarkEnd w:id="1"/>
      <w:r>
        <w:rPr>
          <w:rStyle w:val="4"/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  <w:t>增城区财政局2016年度行政事业性收费情况</w:t>
      </w:r>
    </w:p>
    <w:p>
      <w:pPr>
        <w:keepNext w:val="0"/>
        <w:keepLines w:val="0"/>
        <w:widowControl/>
        <w:suppressLineNumbers w:val="0"/>
        <w:spacing w:before="0" w:beforeAutospacing="1" w:after="0" w:afterAutospacing="1" w:line="640" w:lineRule="atLeast"/>
        <w:ind w:left="0" w:right="0"/>
        <w:jc w:val="center"/>
      </w:pPr>
      <w:r>
        <w:rPr>
          <w:rFonts w:hint="eastAsia" w:ascii="宋体" w:hAnsi="宋体" w:eastAsia="宋体" w:cs="宋体"/>
          <w:spacing w:val="20"/>
          <w:kern w:val="0"/>
          <w:sz w:val="21"/>
          <w:szCs w:val="21"/>
          <w:lang w:val="en-US" w:eastAsia="zh-CN" w:bidi="ar"/>
        </w:rPr>
        <w:t>（2017年7月）</w:t>
      </w:r>
    </w:p>
    <w:tbl>
      <w:tblPr>
        <w:tblW w:w="8519" w:type="dxa"/>
        <w:jc w:val="center"/>
        <w:tblInd w:w="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6"/>
        <w:gridCol w:w="1625"/>
        <w:gridCol w:w="959"/>
        <w:gridCol w:w="1277"/>
        <w:gridCol w:w="1213"/>
        <w:gridCol w:w="1532"/>
        <w:gridCol w:w="13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  <w:jc w:val="center"/>
        </w:trPr>
        <w:tc>
          <w:tcPr>
            <w:tcW w:w="5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spacing w:val="-10"/>
                <w:kern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6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spacing w:val="40"/>
                <w:kern w:val="0"/>
                <w:sz w:val="21"/>
                <w:szCs w:val="21"/>
                <w:lang w:val="en-US" w:eastAsia="zh-CN" w:bidi="ar"/>
              </w:rPr>
              <w:t>收费项目</w:t>
            </w:r>
          </w:p>
        </w:tc>
        <w:tc>
          <w:tcPr>
            <w:tcW w:w="9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val="en-US" w:eastAsia="zh-CN" w:bidi="ar"/>
              </w:rPr>
              <w:t>计算单位</w:t>
            </w:r>
          </w:p>
        </w:tc>
        <w:tc>
          <w:tcPr>
            <w:tcW w:w="127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val="en-US" w:eastAsia="zh-CN" w:bidi="ar"/>
              </w:rPr>
              <w:t>收费标准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val="en-US" w:eastAsia="zh-CN" w:bidi="ar"/>
              </w:rPr>
              <w:t>（元）</w:t>
            </w:r>
          </w:p>
        </w:tc>
        <w:tc>
          <w:tcPr>
            <w:tcW w:w="12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val="en-US" w:eastAsia="zh-CN" w:bidi="ar"/>
              </w:rPr>
              <w:t>2016年度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val="en-US" w:eastAsia="zh-CN" w:bidi="ar"/>
              </w:rPr>
              <w:t>收费次数</w:t>
            </w:r>
          </w:p>
        </w:tc>
        <w:tc>
          <w:tcPr>
            <w:tcW w:w="153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val="en-US" w:eastAsia="zh-CN" w:bidi="ar"/>
              </w:rPr>
              <w:t>2016年度收费总额（万元）</w:t>
            </w:r>
          </w:p>
        </w:tc>
        <w:tc>
          <w:tcPr>
            <w:tcW w:w="132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val="en-US" w:eastAsia="zh-CN" w:bidi="ar"/>
              </w:rPr>
              <w:t>备   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58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会计专业技术资格考试考务费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58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①实施无纸化的初级会计专业技术资格考试费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科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75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17366</w:t>
            </w:r>
          </w:p>
        </w:tc>
        <w:tc>
          <w:tcPr>
            <w:tcW w:w="15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130.24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58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②实施无纸化的中级会计专业技术资格考试费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科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75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1392</w:t>
            </w:r>
          </w:p>
        </w:tc>
        <w:tc>
          <w:tcPr>
            <w:tcW w:w="15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10.44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58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会计从业资格考试费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58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①专业知识考试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科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65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17799</w:t>
            </w:r>
          </w:p>
        </w:tc>
        <w:tc>
          <w:tcPr>
            <w:tcW w:w="15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231.39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jc w:val="center"/>
        </w:trPr>
        <w:tc>
          <w:tcPr>
            <w:tcW w:w="58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②技能知识考试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科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65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17810</w:t>
            </w:r>
          </w:p>
        </w:tc>
        <w:tc>
          <w:tcPr>
            <w:tcW w:w="15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115.77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58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会计人员继续教育培训费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58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①会计理论性培训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人.课时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1" w:after="0" w:afterAutospacing="1" w:line="26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5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58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②会计技能性培训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人.课时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5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58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会计人员继续教育培训费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58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①会计理论性培训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人.课时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1" w:after="0" w:afterAutospacing="1" w:line="26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5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  <w:jc w:val="center"/>
        </w:trPr>
        <w:tc>
          <w:tcPr>
            <w:tcW w:w="58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②会计技能性培训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人.课时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283</w:t>
            </w:r>
          </w:p>
        </w:tc>
        <w:tc>
          <w:tcPr>
            <w:tcW w:w="15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5.9136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  <w:jc w:val="center"/>
        </w:trPr>
        <w:tc>
          <w:tcPr>
            <w:tcW w:w="58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培训教材资料费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按实际成本收取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5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</w:pPr>
            <w:r>
              <w:rPr>
                <w:rFonts w:hint="default" w:ascii="Verdana" w:hAnsi="Verdana" w:cs="Verdana" w:eastAsiaTheme="minorEastAsia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Fonts w:hint="default" w:ascii="Verdana" w:hAnsi="Verdana" w:cs="Verdana"/>
          <w:sz w:val="18"/>
          <w:szCs w:val="18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0C1A77"/>
    <w:rsid w:val="4B0C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FollowedHyperlink"/>
    <w:basedOn w:val="3"/>
    <w:uiPriority w:val="0"/>
    <w:rPr>
      <w:color w:val="000000"/>
      <w:u w:val="none"/>
    </w:rPr>
  </w:style>
  <w:style w:type="character" w:styleId="6">
    <w:name w:val="Hyperlink"/>
    <w:basedOn w:val="3"/>
    <w:uiPriority w:val="0"/>
    <w:rPr>
      <w:color w:val="00000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2017-09-15T01:59:00Z</dcterms:created>
  <dc:creator>user</dc:creator>
  <cp:lastModifiedBy>user</cp:lastModifiedBy>
  <dcterms:modified xsi:type="dcterms:W3CDTF">2017-09-15T02:01:30Z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