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center"/>
        <w:rPr>
          <w:rFonts w:hint="eastAsia" w:ascii="宋体" w:hAnsi="宋体" w:eastAsia="宋体" w:cs="宋体"/>
          <w:b/>
          <w:bCs/>
          <w:color w:val="000000" w:themeColor="text1"/>
          <w:kern w:val="0"/>
          <w:sz w:val="44"/>
          <w:szCs w:val="44"/>
          <w:lang w:bidi="ar"/>
          <w14:textFill>
            <w14:solidFill>
              <w14:schemeClr w14:val="tx1"/>
            </w14:solidFill>
          </w14:textFill>
        </w:rPr>
      </w:pPr>
      <w:r>
        <w:rPr>
          <w:rFonts w:hint="eastAsia" w:ascii="宋体" w:hAnsi="宋体" w:eastAsia="宋体" w:cs="宋体"/>
          <w:b/>
          <w:bCs/>
          <w:color w:val="000000" w:themeColor="text1"/>
          <w:kern w:val="0"/>
          <w:sz w:val="44"/>
          <w:szCs w:val="44"/>
          <w:lang w:bidi="ar"/>
          <w14:textFill>
            <w14:solidFill>
              <w14:schemeClr w14:val="tx1"/>
            </w14:solidFill>
          </w14:textFill>
        </w:rPr>
        <w:t>广州市增城区202</w:t>
      </w:r>
      <w:r>
        <w:rPr>
          <w:rFonts w:hint="eastAsia" w:ascii="宋体" w:hAnsi="宋体" w:eastAsia="宋体" w:cs="宋体"/>
          <w:b/>
          <w:bCs/>
          <w:color w:val="000000" w:themeColor="text1"/>
          <w:kern w:val="0"/>
          <w:sz w:val="44"/>
          <w:szCs w:val="44"/>
          <w:lang w:val="en-US" w:eastAsia="zh-CN" w:bidi="ar"/>
          <w14:textFill>
            <w14:solidFill>
              <w14:schemeClr w14:val="tx1"/>
            </w14:solidFill>
          </w14:textFill>
        </w:rPr>
        <w:t>2</w:t>
      </w:r>
      <w:r>
        <w:rPr>
          <w:rFonts w:hint="eastAsia" w:ascii="宋体" w:hAnsi="宋体" w:eastAsia="宋体" w:cs="宋体"/>
          <w:b/>
          <w:bCs/>
          <w:color w:val="000000" w:themeColor="text1"/>
          <w:kern w:val="0"/>
          <w:sz w:val="44"/>
          <w:szCs w:val="44"/>
          <w:lang w:bidi="ar"/>
          <w14:textFill>
            <w14:solidFill>
              <w14:schemeClr w14:val="tx1"/>
            </w14:solidFill>
          </w14:textFill>
        </w:rPr>
        <w:t>年度</w:t>
      </w:r>
    </w:p>
    <w:p>
      <w:pPr>
        <w:widowControl/>
        <w:snapToGrid w:val="0"/>
        <w:jc w:val="center"/>
        <w:rPr>
          <w:rFonts w:hint="eastAsia" w:ascii="宋体" w:hAnsi="宋体" w:eastAsia="宋体" w:cs="宋体"/>
          <w:b/>
          <w:bCs/>
          <w:color w:val="000000" w:themeColor="text1"/>
          <w:kern w:val="0"/>
          <w:sz w:val="44"/>
          <w:szCs w:val="44"/>
          <w:lang w:bidi="ar"/>
          <w14:textFill>
            <w14:solidFill>
              <w14:schemeClr w14:val="tx1"/>
            </w14:solidFill>
          </w14:textFill>
        </w:rPr>
      </w:pPr>
      <w:r>
        <w:rPr>
          <w:rFonts w:hint="eastAsia" w:ascii="宋体" w:hAnsi="宋体" w:eastAsia="宋体" w:cs="宋体"/>
          <w:b/>
          <w:bCs/>
          <w:color w:val="000000" w:themeColor="text1"/>
          <w:kern w:val="0"/>
          <w:sz w:val="44"/>
          <w:szCs w:val="44"/>
          <w:lang w:bidi="ar"/>
          <w14:textFill>
            <w14:solidFill>
              <w14:schemeClr w14:val="tx1"/>
            </w14:solidFill>
          </w14:textFill>
        </w:rPr>
        <w:t>土地征收成片开发方案</w:t>
      </w:r>
    </w:p>
    <w:p>
      <w:pPr>
        <w:widowControl/>
        <w:jc w:val="center"/>
        <w:rPr>
          <w:rFonts w:ascii="宋体" w:hAnsi="宋体" w:eastAsia="宋体" w:cs="宋体"/>
          <w:color w:val="000000" w:themeColor="text1"/>
          <w:kern w:val="0"/>
          <w:sz w:val="44"/>
          <w:szCs w:val="44"/>
          <w:lang w:bidi="ar"/>
          <w14:textFill>
            <w14:solidFill>
              <w14:schemeClr w14:val="tx1"/>
            </w14:solidFill>
          </w14:textFill>
        </w:rPr>
      </w:pPr>
    </w:p>
    <w:p>
      <w:pPr>
        <w:widowControl/>
        <w:jc w:val="left"/>
        <w:rPr>
          <w:color w:val="000000" w:themeColor="text1"/>
          <w14:textFill>
            <w14:solidFill>
              <w14:schemeClr w14:val="tx1"/>
            </w14:solidFill>
          </w14:textFill>
        </w:rPr>
      </w:pPr>
      <w:r>
        <w:rPr>
          <w:rFonts w:ascii="黑体" w:hAnsi="宋体" w:eastAsia="黑体" w:cs="黑体"/>
          <w:color w:val="000000" w:themeColor="text1"/>
          <w:kern w:val="0"/>
          <w:sz w:val="32"/>
          <w:szCs w:val="32"/>
          <w:lang w:bidi="ar"/>
          <w14:textFill>
            <w14:solidFill>
              <w14:schemeClr w14:val="tx1"/>
            </w14:solidFill>
          </w14:textFill>
        </w:rPr>
        <w:t>一</w:t>
      </w:r>
      <w:r>
        <w:rPr>
          <w:rFonts w:hint="eastAsia" w:ascii="黑体" w:hAnsi="宋体" w:eastAsia="黑体" w:cs="黑体"/>
          <w:color w:val="000000" w:themeColor="text1"/>
          <w:kern w:val="0"/>
          <w:sz w:val="32"/>
          <w:szCs w:val="32"/>
          <w:lang w:bidi="ar"/>
          <w14:textFill>
            <w14:solidFill>
              <w14:schemeClr w14:val="tx1"/>
            </w14:solidFill>
          </w14:textFill>
        </w:rPr>
        <w:t>、</w:t>
      </w:r>
      <w:r>
        <w:rPr>
          <w:rFonts w:ascii="黑体" w:hAnsi="宋体" w:eastAsia="黑体" w:cs="黑体"/>
          <w:color w:val="000000" w:themeColor="text1"/>
          <w:kern w:val="0"/>
          <w:sz w:val="32"/>
          <w:szCs w:val="32"/>
          <w:lang w:bidi="ar"/>
          <w14:textFill>
            <w14:solidFill>
              <w14:schemeClr w14:val="tx1"/>
            </w14:solidFill>
          </w14:textFill>
        </w:rPr>
        <w:t xml:space="preserve">编制依据 </w:t>
      </w:r>
    </w:p>
    <w:p>
      <w:pPr>
        <w:widowControl/>
        <w:ind w:firstLine="560" w:firstLineChars="200"/>
        <w:rPr>
          <w:rFonts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依据《中华人民共和国土地管理法》（2019年修订）、《广东省自然资源厅关于规范土地征收成片开发工作的通知》(</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粤</w:t>
      </w:r>
      <w:r>
        <w:rPr>
          <w:rFonts w:hint="eastAsia" w:ascii="仿宋_GB2312" w:hAnsi="宋体" w:eastAsia="仿宋_GB2312" w:cs="宋体"/>
          <w:color w:val="000000" w:themeColor="text1"/>
          <w:kern w:val="0"/>
          <w:sz w:val="28"/>
          <w:szCs w:val="28"/>
          <w:lang w:bidi="ar"/>
          <w14:textFill>
            <w14:solidFill>
              <w14:schemeClr w14:val="tx1"/>
            </w14:solidFill>
          </w14:textFill>
        </w:rPr>
        <w:t>自然资</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发</w:t>
      </w:r>
      <w:r>
        <w:rPr>
          <w:rFonts w:hint="eastAsia" w:ascii="仿宋_GB2312" w:hAnsi="宋体" w:eastAsia="仿宋_GB2312" w:cs="宋体"/>
          <w:color w:val="000000" w:themeColor="text1"/>
          <w:kern w:val="0"/>
          <w:sz w:val="28"/>
          <w:szCs w:val="28"/>
          <w:lang w:bidi="ar"/>
          <w14:textFill>
            <w14:solidFill>
              <w14:schemeClr w14:val="tx1"/>
            </w14:solidFill>
          </w14:textFill>
        </w:rPr>
        <w:t>〔202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1</w:t>
      </w:r>
      <w:r>
        <w:rPr>
          <w:rFonts w:hint="eastAsia" w:ascii="仿宋_GB2312" w:hAnsi="宋体" w:eastAsia="仿宋_GB2312" w:cs="宋体"/>
          <w:color w:val="000000" w:themeColor="text1"/>
          <w:kern w:val="0"/>
          <w:sz w:val="28"/>
          <w:szCs w:val="28"/>
          <w:lang w:bidi="ar"/>
          <w14:textFill>
            <w14:solidFill>
              <w14:schemeClr w14:val="tx1"/>
            </w14:solidFill>
          </w14:textFill>
        </w:rPr>
        <w:t>〕</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20</w:t>
      </w:r>
      <w:r>
        <w:rPr>
          <w:rFonts w:hint="eastAsia" w:ascii="仿宋_GB2312" w:hAnsi="宋体" w:eastAsia="仿宋_GB2312" w:cs="宋体"/>
          <w:color w:val="000000" w:themeColor="text1"/>
          <w:kern w:val="0"/>
          <w:sz w:val="28"/>
          <w:szCs w:val="28"/>
          <w:lang w:bidi="ar"/>
          <w14:textFill>
            <w14:solidFill>
              <w14:schemeClr w14:val="tx1"/>
            </w14:solidFill>
          </w14:textFill>
        </w:rPr>
        <w:t>号)等相关文件，编制《广州市增城区202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w:t>
      </w:r>
      <w:r>
        <w:rPr>
          <w:rFonts w:hint="eastAsia" w:ascii="仿宋_GB2312" w:hAnsi="宋体" w:eastAsia="仿宋_GB2312" w:cs="宋体"/>
          <w:color w:val="000000" w:themeColor="text1"/>
          <w:kern w:val="0"/>
          <w:sz w:val="28"/>
          <w:szCs w:val="28"/>
          <w:lang w:bidi="ar"/>
          <w14:textFill>
            <w14:solidFill>
              <w14:schemeClr w14:val="tx1"/>
            </w14:solidFill>
          </w14:textFill>
        </w:rPr>
        <w:t>年度土地征收成片开发方案》。</w:t>
      </w:r>
    </w:p>
    <w:p>
      <w:pPr>
        <w:widowControl/>
        <w:jc w:val="left"/>
        <w:rPr>
          <w:rFonts w:ascii="宋体" w:hAnsi="宋体" w:eastAsia="宋体" w:cs="宋体"/>
          <w:color w:val="000000" w:themeColor="text1"/>
          <w:kern w:val="0"/>
          <w:sz w:val="24"/>
          <w:lang w:bidi="ar"/>
          <w14:textFill>
            <w14:solidFill>
              <w14:schemeClr w14:val="tx1"/>
            </w14:solidFill>
          </w14:textFill>
        </w:rPr>
      </w:pPr>
    </w:p>
    <w:p>
      <w:pPr>
        <w:widowControl/>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bidi="ar"/>
          <w14:textFill>
            <w14:solidFill>
              <w14:schemeClr w14:val="tx1"/>
            </w14:solidFill>
          </w14:textFill>
        </w:rPr>
        <w:t xml:space="preserve">二、成片开发范围基本情况 </w:t>
      </w:r>
    </w:p>
    <w:p>
      <w:pPr>
        <w:widowControl/>
        <w:ind w:firstLine="560" w:firstLineChars="200"/>
        <w:rPr>
          <w:rFonts w:hint="eastAsia"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本次成片开发范围为增城区行政辖区内拟进行成片开发的区域。根据增城区202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w:t>
      </w:r>
      <w:r>
        <w:rPr>
          <w:rFonts w:hint="eastAsia" w:ascii="仿宋_GB2312" w:hAnsi="宋体" w:eastAsia="仿宋_GB2312" w:cs="宋体"/>
          <w:color w:val="000000" w:themeColor="text1"/>
          <w:kern w:val="0"/>
          <w:sz w:val="28"/>
          <w:szCs w:val="28"/>
          <w:lang w:bidi="ar"/>
          <w14:textFill>
            <w14:solidFill>
              <w14:schemeClr w14:val="tx1"/>
            </w14:solidFill>
          </w14:textFill>
        </w:rPr>
        <w:t>年度土地征收工作安排及拟开发项目连片程度，共划定</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39</w:t>
      </w:r>
      <w:r>
        <w:rPr>
          <w:rFonts w:hint="eastAsia" w:ascii="仿宋_GB2312" w:hAnsi="宋体" w:eastAsia="仿宋_GB2312" w:cs="宋体"/>
          <w:color w:val="000000" w:themeColor="text1"/>
          <w:kern w:val="0"/>
          <w:sz w:val="28"/>
          <w:szCs w:val="28"/>
          <w:lang w:bidi="ar"/>
          <w14:textFill>
            <w14:solidFill>
              <w14:schemeClr w14:val="tx1"/>
            </w14:solidFill>
          </w14:textFill>
        </w:rPr>
        <w:t>个成片开发区域，总用地面积为</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1731.9972</w:t>
      </w:r>
      <w:r>
        <w:rPr>
          <w:rFonts w:hint="eastAsia" w:ascii="仿宋_GB2312" w:hAnsi="宋体" w:eastAsia="仿宋_GB2312" w:cs="宋体"/>
          <w:color w:val="000000" w:themeColor="text1"/>
          <w:kern w:val="0"/>
          <w:sz w:val="28"/>
          <w:szCs w:val="28"/>
          <w:lang w:bidi="ar"/>
          <w14:textFill>
            <w14:solidFill>
              <w14:schemeClr w14:val="tx1"/>
            </w14:solidFill>
          </w14:textFill>
        </w:rPr>
        <w:t>公顷，详细信息见下表</w:t>
      </w:r>
      <w:r>
        <w:rPr>
          <w:rFonts w:hint="eastAsia" w:ascii="仿宋_GB2312" w:hAnsi="宋体" w:eastAsia="仿宋_GB2312" w:cs="宋体"/>
          <w:color w:val="000000" w:themeColor="text1"/>
          <w:kern w:val="0"/>
          <w:sz w:val="28"/>
          <w:szCs w:val="28"/>
          <w:lang w:eastAsia="zh-CN" w:bidi="ar"/>
          <w14:textFill>
            <w14:solidFill>
              <w14:schemeClr w14:val="tx1"/>
            </w14:solidFill>
          </w14:textFill>
        </w:rPr>
        <w:t>：</w:t>
      </w: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 </w:t>
      </w:r>
    </w:p>
    <w:p>
      <w:pPr>
        <w:widowControl/>
        <w:jc w:val="center"/>
        <w:rPr>
          <w:rFonts w:hint="eastAsia" w:ascii="仿宋_GB2312" w:hAnsi="楷体" w:eastAsia="仿宋_GB2312" w:cs="楷体"/>
          <w:b/>
          <w:color w:val="000000" w:themeColor="text1"/>
          <w:kern w:val="0"/>
          <w:sz w:val="24"/>
          <w:lang w:bidi="ar"/>
          <w14:textFill>
            <w14:solidFill>
              <w14:schemeClr w14:val="tx1"/>
            </w14:solidFill>
          </w14:textFill>
        </w:rPr>
      </w:pPr>
    </w:p>
    <w:p>
      <w:pPr>
        <w:widowControl/>
        <w:jc w:val="center"/>
        <w:rPr>
          <w:rFonts w:hint="eastAsia"/>
        </w:rPr>
      </w:pPr>
      <w:r>
        <w:rPr>
          <w:rFonts w:hint="eastAsia" w:ascii="仿宋_GB2312" w:hAnsi="楷体" w:eastAsia="仿宋_GB2312" w:cs="楷体"/>
          <w:b/>
          <w:color w:val="000000" w:themeColor="text1"/>
          <w:kern w:val="0"/>
          <w:sz w:val="24"/>
          <w:lang w:bidi="ar"/>
          <w14:textFill>
            <w14:solidFill>
              <w14:schemeClr w14:val="tx1"/>
            </w14:solidFill>
          </w14:textFill>
        </w:rPr>
        <w:t>表1 增城区成片开发</w:t>
      </w:r>
      <w:r>
        <w:rPr>
          <w:rFonts w:hint="eastAsia" w:ascii="仿宋_GB2312" w:hAnsi="楷体" w:eastAsia="仿宋_GB2312" w:cs="楷体"/>
          <w:b/>
          <w:color w:val="000000" w:themeColor="text1"/>
          <w:kern w:val="0"/>
          <w:sz w:val="24"/>
          <w:lang w:val="en-US" w:eastAsia="zh-CN" w:bidi="ar"/>
          <w14:textFill>
            <w14:solidFill>
              <w14:schemeClr w14:val="tx1"/>
            </w14:solidFill>
          </w14:textFill>
        </w:rPr>
        <w:t>范围</w:t>
      </w:r>
      <w:r>
        <w:rPr>
          <w:rFonts w:hint="eastAsia" w:ascii="仿宋_GB2312" w:hAnsi="楷体" w:eastAsia="仿宋_GB2312" w:cs="楷体"/>
          <w:b/>
          <w:color w:val="000000" w:themeColor="text1"/>
          <w:kern w:val="0"/>
          <w:sz w:val="24"/>
          <w:lang w:bidi="ar"/>
          <w14:textFill>
            <w14:solidFill>
              <w14:schemeClr w14:val="tx1"/>
            </w14:solidFill>
          </w14:textFill>
        </w:rPr>
        <w:t>详细信息一览表</w:t>
      </w:r>
    </w:p>
    <w:tbl>
      <w:tblPr>
        <w:tblStyle w:val="5"/>
        <w:tblW w:w="8915" w:type="dxa"/>
        <w:jc w:val="center"/>
        <w:tblInd w:w="-2802" w:type="dxa"/>
        <w:tblLayout w:type="fixed"/>
        <w:tblCellMar>
          <w:top w:w="0" w:type="dxa"/>
          <w:left w:w="108" w:type="dxa"/>
          <w:bottom w:w="0" w:type="dxa"/>
          <w:right w:w="108" w:type="dxa"/>
        </w:tblCellMar>
      </w:tblPr>
      <w:tblGrid>
        <w:gridCol w:w="515"/>
        <w:gridCol w:w="2100"/>
        <w:gridCol w:w="2100"/>
        <w:gridCol w:w="1200"/>
        <w:gridCol w:w="1020"/>
        <w:gridCol w:w="1095"/>
        <w:gridCol w:w="885"/>
      </w:tblGrid>
      <w:tr>
        <w:tblPrEx>
          <w:tblLayout w:type="fixed"/>
          <w:tblCellMar>
            <w:top w:w="0" w:type="dxa"/>
            <w:left w:w="108" w:type="dxa"/>
            <w:bottom w:w="0" w:type="dxa"/>
            <w:right w:w="108" w:type="dxa"/>
          </w:tblCellMar>
        </w:tblPrEx>
        <w:trPr>
          <w:trHeight w:val="693" w:hRule="atLeast"/>
          <w:tblHeader/>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序号</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成片开发范围名称</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所处位置</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片区面积（公顷）</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b/>
                <w:color w:val="000000"/>
                <w:kern w:val="0"/>
                <w:szCs w:val="21"/>
                <w:lang w:val="en-US" w:eastAsia="zh-CN"/>
              </w:rPr>
            </w:pPr>
            <w:r>
              <w:rPr>
                <w:rFonts w:hint="eastAsia" w:ascii="Times New Roman" w:hAnsi="Times New Roman" w:eastAsia="仿宋_GB2312" w:cs="Times New Roman"/>
                <w:b/>
                <w:color w:val="000000"/>
                <w:kern w:val="0"/>
                <w:szCs w:val="21"/>
                <w:lang w:val="en-US" w:eastAsia="zh-CN"/>
              </w:rPr>
              <w:t>农用地</w:t>
            </w:r>
          </w:p>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占比</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b/>
                <w:color w:val="000000"/>
                <w:kern w:val="0"/>
                <w:szCs w:val="21"/>
                <w:lang w:val="en-US" w:eastAsia="zh-CN"/>
              </w:rPr>
            </w:pPr>
            <w:r>
              <w:rPr>
                <w:rFonts w:hint="eastAsia" w:ascii="Times New Roman" w:hAnsi="Times New Roman" w:eastAsia="仿宋_GB2312" w:cs="Times New Roman"/>
                <w:b/>
                <w:color w:val="000000"/>
                <w:kern w:val="0"/>
                <w:szCs w:val="21"/>
                <w:lang w:val="en-US" w:eastAsia="zh-CN"/>
              </w:rPr>
              <w:t>建设用地</w:t>
            </w:r>
          </w:p>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占比</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未利用地占比</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荔湖街罗岗片区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荔湖街罗岗村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70.4572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58.80%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40.84%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0.35%</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新塘镇官湖、石下片区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新塘镇官湖村、石下村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64.9024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58.72%</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36.60%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4.69%</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中新镇乌石片区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中新镇乌石村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85.7772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77.03%</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15.92%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7.05%</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派潭镇大埔片区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派潭镇大埔村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8.5249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55.85%</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41.13%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3.02%</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中新镇团结村片区一</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58.8332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78.31%</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21.69%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新塘镇乌石片区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新塘镇乌石村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34.1222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84.75%</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15.25%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仙村镇上境片区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仙村镇上境村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10.0543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17.23%</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82.77%</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仙村镇下境片区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仙村镇下境村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15.2915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20.07%</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79.93%</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科教城片区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朱村街朱村村、秀山村、凤岗村、中新镇五联村、坑贝村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387.7694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82.00%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16.60%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1.40%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永宁街新新公路西侧片区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永宁街塔岗村、叶岭村、公村村、岗丰村、宁西街九如村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74.9253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46.52%</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50.80%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2.68%</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11</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新塘镇新墩片区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新塘镇新墩村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39.8306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47.86%</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50.78%</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1.37%</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12</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荔湖街荔湖大道南侧片区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荔湖街罗岗村、石滩镇塘头村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135.8715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74.78%</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21.47%</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3.74%</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13</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石滩镇顾屋片区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石滩镇顾屋村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53.6161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63.79%</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35.52%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0.70%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14</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永宁街长岗、宁西街章陂片区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永宁街长岗村、宁西街章陂村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30.0810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78.28%</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20.91%</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0.81%</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新塘镇瑶田片区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新塘镇瑶田村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49.9563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8.69%</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91.27%</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0.04%</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永宁街陂头片区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永宁街陂头村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43.5510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60.04%</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39.96%</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石滩退二进三片区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石滩镇麻车村、马修村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123.0710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67.15%</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30.22%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2.63%</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18</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宁西街九如片区一</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23.7706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31.92%</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68.08%</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宁西街九如片区二</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0.1821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91.35%</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8.65%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永宁街岗丰片区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永宁街岗丰村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14.0202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51.46%</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48.54%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21</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新塘官道片区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新塘官道村、塘边村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4.7571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6.07%</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59.92%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34.01%</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22</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永宁街翟洞片区一</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12.7126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79.16%</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20.84%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23</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仙村镇碧潭片区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仙村镇碧潭村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9.3144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80.81%</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19.19%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24</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仙村镇沙滘片区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仙村镇沙滘村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1.0971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25</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中新镇团结村片区二</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1.2217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26</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荔湖街五一片区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荔湖街五一村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56.5464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60.54%</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39.46%</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27</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正果镇到蔚片区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正果镇到蔚村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8.7283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53.12%</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46.88%</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28</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石滩镇横岭片区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石滩镇横岭村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41.9308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75.11%</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24.89%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29</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宁西街九如、湖中片区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宁西街九如村、湖中村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112.7577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68.51%</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31.19%</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0.30%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30</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宁西街章陂片区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宁西街章陂村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8.4260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88.28%</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11.72%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31</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石滩镇沙塘片区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石滩镇沙塘村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28.4470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76.58%</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23.42%</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32</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中新镇莲塘片区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中新镇莲塘村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24.6574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97.15%</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2.85%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33</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宁西街湖中、百湖片区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宁西街湖中村、百湖村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24.5831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79.22%</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20.78%</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90"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34</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派潭镇上九陂、背阴片区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派潭镇上九陂村、背阴村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7.6222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35</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永宁街翟洞片区二</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44.9022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88.13%</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9.55%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2.32%</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36</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派潭镇高滩片区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派潭镇高滩村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4.1193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98.35%</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1.65%</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37</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石滩镇沙头、龙地片区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石滩镇沙头村、龙地村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6.6850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38</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4.6000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51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39</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荔湖街太平片区</w:t>
            </w:r>
          </w:p>
        </w:tc>
        <w:tc>
          <w:tcPr>
            <w:tcW w:w="21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荔湖街太平村</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4.2806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0.00%</w:t>
            </w:r>
          </w:p>
        </w:tc>
      </w:tr>
      <w:tr>
        <w:tblPrEx>
          <w:tblLayout w:type="fixed"/>
          <w:tblCellMar>
            <w:top w:w="0" w:type="dxa"/>
            <w:left w:w="108" w:type="dxa"/>
            <w:bottom w:w="0" w:type="dxa"/>
            <w:right w:w="108" w:type="dxa"/>
          </w:tblCellMar>
        </w:tblPrEx>
        <w:trPr>
          <w:trHeight w:val="288" w:hRule="atLeast"/>
          <w:jc w:val="center"/>
        </w:trPr>
        <w:tc>
          <w:tcPr>
            <w:tcW w:w="471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合计</w:t>
            </w:r>
          </w:p>
        </w:tc>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1731.9972 </w:t>
            </w:r>
          </w:p>
        </w:tc>
        <w:tc>
          <w:tcPr>
            <w:tcW w:w="10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68.85%</w:t>
            </w:r>
          </w:p>
        </w:tc>
        <w:tc>
          <w:tcPr>
            <w:tcW w:w="109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29.44%</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1.70%</w:t>
            </w:r>
          </w:p>
        </w:tc>
      </w:tr>
    </w:tbl>
    <w:p>
      <w:pPr>
        <w:widowControl/>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bidi="ar"/>
          <w14:textFill>
            <w14:solidFill>
              <w14:schemeClr w14:val="tx1"/>
            </w14:solidFill>
          </w14:textFill>
        </w:rPr>
        <w:t xml:space="preserve">三、成片开发的必要性、主要用途和实现功能 </w:t>
      </w:r>
    </w:p>
    <w:p>
      <w:pPr>
        <w:widowControl/>
        <w:ind w:firstLine="560" w:firstLineChars="200"/>
        <w:rPr>
          <w:rFonts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成片开发方案的编制实施可加快区域经济格局的重构、推动增城区实现产业动能升级转换、助力增城区高质量发展，保障增城区拟于近期开展土地征收工作的公铁联运、开发区等重点产业项目顺利推进。 </w:t>
      </w:r>
    </w:p>
    <w:p>
      <w:pPr>
        <w:widowControl/>
        <w:ind w:firstLine="560" w:firstLineChars="200"/>
        <w:rPr>
          <w:rFonts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成片开发方案的编制实施可推动增城区产业链和创新链协同发展，形成创新经济集聚发展新格局，推进中新科技园、增城经济技术开发区核心区、增城</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火车站</w:t>
      </w: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等重点平台的建设。 </w:t>
      </w:r>
    </w:p>
    <w:p>
      <w:pPr>
        <w:widowControl/>
        <w:ind w:firstLine="560" w:firstLineChars="200"/>
        <w:rPr>
          <w:rFonts w:hint="eastAsia"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成片开发方案的编制实施可保障增城区近期重点建设项目以用留用地等用地的报批工作的顺利推进，落实相关村社集体发展需求，切实保障被征地农民的合法权益，全力助推乡村振兴战略实施。 </w:t>
      </w:r>
    </w:p>
    <w:p>
      <w:pPr>
        <w:widowControl/>
        <w:spacing w:before="312" w:beforeLines="100"/>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bidi="ar"/>
          <w14:textFill>
            <w14:solidFill>
              <w14:schemeClr w14:val="tx1"/>
            </w14:solidFill>
          </w14:textFill>
        </w:rPr>
        <w:t>四、成片开发</w:t>
      </w:r>
      <w:r>
        <w:rPr>
          <w:rFonts w:hint="eastAsia" w:ascii="黑体" w:hAnsi="宋体" w:eastAsia="黑体" w:cs="黑体"/>
          <w:color w:val="000000" w:themeColor="text1"/>
          <w:kern w:val="0"/>
          <w:sz w:val="32"/>
          <w:szCs w:val="32"/>
          <w:lang w:val="en-US" w:eastAsia="zh-CN" w:bidi="ar"/>
          <w14:textFill>
            <w14:solidFill>
              <w14:schemeClr w14:val="tx1"/>
            </w14:solidFill>
          </w14:textFill>
        </w:rPr>
        <w:t>范围国土空间规划情况</w:t>
      </w:r>
      <w:r>
        <w:rPr>
          <w:rFonts w:hint="eastAsia" w:ascii="黑体" w:hAnsi="宋体" w:eastAsia="黑体" w:cs="黑体"/>
          <w:color w:val="000000" w:themeColor="text1"/>
          <w:kern w:val="0"/>
          <w:sz w:val="32"/>
          <w:szCs w:val="32"/>
          <w:lang w:bidi="ar"/>
          <w14:textFill>
            <w14:solidFill>
              <w14:schemeClr w14:val="tx1"/>
            </w14:solidFill>
          </w14:textFill>
        </w:rPr>
        <w:t xml:space="preserve"> </w:t>
      </w:r>
    </w:p>
    <w:p>
      <w:pPr>
        <w:widowControl/>
        <w:ind w:firstLine="560" w:firstLineChars="200"/>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梳理现行城市总体规划、土地利用总体规划及在编国土空间规划底线要素，包括永久基本农田、生态保护红线、自然保护地、总规禁建区、绿线等，形成底线一张图，落实生态保护红线及永久基本农田保护要求。</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经</w:t>
      </w:r>
      <w:r>
        <w:rPr>
          <w:rFonts w:hint="eastAsia" w:ascii="仿宋_GB2312" w:hAnsi="宋体" w:eastAsia="仿宋_GB2312" w:cs="宋体"/>
          <w:color w:val="000000" w:themeColor="text1"/>
          <w:kern w:val="0"/>
          <w:sz w:val="28"/>
          <w:szCs w:val="28"/>
          <w:lang w:bidi="ar"/>
          <w14:textFill>
            <w14:solidFill>
              <w14:schemeClr w14:val="tx1"/>
            </w14:solidFill>
          </w14:textFill>
        </w:rPr>
        <w:t>核</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查，各成片开发范围均位于</w:t>
      </w:r>
      <w:r>
        <w:rPr>
          <w:rFonts w:hint="eastAsia" w:ascii="仿宋_GB2312" w:hAnsi="宋体" w:eastAsia="仿宋_GB2312" w:cs="宋体"/>
          <w:color w:val="000000" w:themeColor="text1"/>
          <w:kern w:val="0"/>
          <w:sz w:val="28"/>
          <w:szCs w:val="28"/>
          <w:lang w:bidi="ar"/>
          <w14:textFill>
            <w14:solidFill>
              <w14:schemeClr w14:val="tx1"/>
            </w14:solidFill>
          </w14:textFill>
        </w:rPr>
        <w:t>现行城市总体规划</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或</w:t>
      </w:r>
      <w:r>
        <w:rPr>
          <w:rFonts w:hint="eastAsia" w:ascii="仿宋_GB2312" w:hAnsi="宋体" w:eastAsia="仿宋_GB2312" w:cs="宋体"/>
          <w:color w:val="000000" w:themeColor="text1"/>
          <w:kern w:val="0"/>
          <w:sz w:val="28"/>
          <w:szCs w:val="28"/>
          <w:lang w:bidi="ar"/>
          <w14:textFill>
            <w14:solidFill>
              <w14:schemeClr w14:val="tx1"/>
            </w14:solidFill>
          </w14:textFill>
        </w:rPr>
        <w:t>土地利用总体规划</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的允许建设区内，且均位于在编国土空间规划城镇集中建设区内，不涉及占用</w:t>
      </w:r>
      <w:r>
        <w:rPr>
          <w:rFonts w:hint="eastAsia" w:ascii="仿宋_GB2312" w:hAnsi="宋体" w:eastAsia="仿宋_GB2312" w:cs="宋体"/>
          <w:color w:val="000000" w:themeColor="text1"/>
          <w:kern w:val="0"/>
          <w:sz w:val="28"/>
          <w:szCs w:val="28"/>
          <w:lang w:bidi="ar"/>
          <w14:textFill>
            <w14:solidFill>
              <w14:schemeClr w14:val="tx1"/>
            </w14:solidFill>
          </w14:textFill>
        </w:rPr>
        <w:t>永久基本农田</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与</w:t>
      </w:r>
      <w:r>
        <w:rPr>
          <w:rFonts w:hint="eastAsia" w:ascii="仿宋_GB2312" w:hAnsi="宋体" w:eastAsia="仿宋_GB2312" w:cs="宋体"/>
          <w:color w:val="000000" w:themeColor="text1"/>
          <w:kern w:val="0"/>
          <w:sz w:val="28"/>
          <w:szCs w:val="28"/>
          <w:lang w:bidi="ar"/>
          <w14:textFill>
            <w14:solidFill>
              <w14:schemeClr w14:val="tx1"/>
            </w14:solidFill>
          </w14:textFill>
        </w:rPr>
        <w:t>生态保护红线</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范围，</w:t>
      </w:r>
      <w:r>
        <w:rPr>
          <w:rFonts w:hint="eastAsia" w:ascii="仿宋_GB2312" w:hAnsi="宋体" w:eastAsia="仿宋_GB2312" w:cs="宋体"/>
          <w:color w:val="000000" w:themeColor="text1"/>
          <w:kern w:val="0"/>
          <w:sz w:val="28"/>
          <w:szCs w:val="28"/>
          <w:lang w:bidi="ar"/>
          <w14:textFill>
            <w14:solidFill>
              <w14:schemeClr w14:val="tx1"/>
            </w14:solidFill>
          </w14:textFill>
        </w:rPr>
        <w:t>符合《广东省自然资源厅关于规范土地征收成片开发工作的通知》(</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粤</w:t>
      </w:r>
      <w:r>
        <w:rPr>
          <w:rFonts w:hint="eastAsia" w:ascii="仿宋_GB2312" w:hAnsi="宋体" w:eastAsia="仿宋_GB2312" w:cs="宋体"/>
          <w:color w:val="000000" w:themeColor="text1"/>
          <w:kern w:val="0"/>
          <w:sz w:val="28"/>
          <w:szCs w:val="28"/>
          <w:lang w:bidi="ar"/>
          <w14:textFill>
            <w14:solidFill>
              <w14:schemeClr w14:val="tx1"/>
            </w14:solidFill>
          </w14:textFill>
        </w:rPr>
        <w:t>自然资</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发</w:t>
      </w:r>
      <w:r>
        <w:rPr>
          <w:rFonts w:hint="eastAsia" w:ascii="仿宋_GB2312" w:hAnsi="宋体" w:eastAsia="仿宋_GB2312" w:cs="宋体"/>
          <w:color w:val="000000" w:themeColor="text1"/>
          <w:kern w:val="0"/>
          <w:sz w:val="28"/>
          <w:szCs w:val="28"/>
          <w:lang w:bidi="ar"/>
          <w14:textFill>
            <w14:solidFill>
              <w14:schemeClr w14:val="tx1"/>
            </w14:solidFill>
          </w14:textFill>
        </w:rPr>
        <w:t>〔202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1</w:t>
      </w:r>
      <w:r>
        <w:rPr>
          <w:rFonts w:hint="eastAsia" w:ascii="仿宋_GB2312" w:hAnsi="宋体" w:eastAsia="仿宋_GB2312" w:cs="宋体"/>
          <w:color w:val="000000" w:themeColor="text1"/>
          <w:kern w:val="0"/>
          <w:sz w:val="28"/>
          <w:szCs w:val="28"/>
          <w:lang w:bidi="ar"/>
          <w14:textFill>
            <w14:solidFill>
              <w14:schemeClr w14:val="tx1"/>
            </w14:solidFill>
          </w14:textFill>
        </w:rPr>
        <w:t>〕</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20</w:t>
      </w:r>
      <w:r>
        <w:rPr>
          <w:rFonts w:hint="eastAsia" w:ascii="仿宋_GB2312" w:hAnsi="宋体" w:eastAsia="仿宋_GB2312" w:cs="宋体"/>
          <w:color w:val="000000" w:themeColor="text1"/>
          <w:kern w:val="0"/>
          <w:sz w:val="28"/>
          <w:szCs w:val="28"/>
          <w:lang w:bidi="ar"/>
          <w14:textFill>
            <w14:solidFill>
              <w14:schemeClr w14:val="tx1"/>
            </w14:solidFill>
          </w14:textFill>
        </w:rPr>
        <w:t>号)的要求。</w:t>
      </w:r>
    </w:p>
    <w:p/>
    <w:p>
      <w:pPr>
        <w:widowControl/>
        <w:spacing w:before="312" w:beforeLines="100"/>
        <w:jc w:val="left"/>
        <w:rPr>
          <w:rFonts w:hint="eastAsia" w:ascii="黑体" w:hAnsi="宋体" w:eastAsia="黑体" w:cs="黑体"/>
          <w:color w:val="000000" w:themeColor="text1"/>
          <w:kern w:val="0"/>
          <w:sz w:val="32"/>
          <w:szCs w:val="32"/>
          <w:lang w:val="en-US" w:eastAsia="zh-CN" w:bidi="ar"/>
          <w14:textFill>
            <w14:solidFill>
              <w14:schemeClr w14:val="tx1"/>
            </w14:solidFill>
          </w14:textFill>
        </w:rPr>
      </w:pPr>
    </w:p>
    <w:p>
      <w:pPr>
        <w:widowControl/>
        <w:spacing w:before="312" w:beforeLines="100"/>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val="en-US" w:eastAsia="zh-CN" w:bidi="ar"/>
          <w14:textFill>
            <w14:solidFill>
              <w14:schemeClr w14:val="tx1"/>
            </w14:solidFill>
          </w14:textFill>
        </w:rPr>
        <w:t>五</w:t>
      </w:r>
      <w:r>
        <w:rPr>
          <w:rFonts w:hint="eastAsia" w:ascii="黑体" w:hAnsi="宋体" w:eastAsia="黑体" w:cs="黑体"/>
          <w:color w:val="000000" w:themeColor="text1"/>
          <w:kern w:val="0"/>
          <w:sz w:val="32"/>
          <w:szCs w:val="32"/>
          <w:lang w:bidi="ar"/>
          <w14:textFill>
            <w14:solidFill>
              <w14:schemeClr w14:val="tx1"/>
            </w14:solidFill>
          </w14:textFill>
        </w:rPr>
        <w:t>、成片开发</w:t>
      </w:r>
      <w:r>
        <w:rPr>
          <w:rFonts w:hint="eastAsia" w:ascii="黑体" w:hAnsi="宋体" w:eastAsia="黑体" w:cs="黑体"/>
          <w:color w:val="000000" w:themeColor="text1"/>
          <w:kern w:val="0"/>
          <w:sz w:val="32"/>
          <w:szCs w:val="32"/>
          <w:lang w:val="en-US" w:eastAsia="zh-CN" w:bidi="ar"/>
          <w14:textFill>
            <w14:solidFill>
              <w14:schemeClr w14:val="tx1"/>
            </w14:solidFill>
          </w14:textFill>
        </w:rPr>
        <w:t>范围内</w:t>
      </w:r>
      <w:r>
        <w:rPr>
          <w:rFonts w:hint="eastAsia" w:ascii="黑体" w:hAnsi="宋体" w:eastAsia="黑体" w:cs="黑体"/>
          <w:color w:val="000000" w:themeColor="text1"/>
          <w:kern w:val="0"/>
          <w:sz w:val="32"/>
          <w:szCs w:val="32"/>
          <w:lang w:bidi="ar"/>
          <w14:textFill>
            <w14:solidFill>
              <w14:schemeClr w14:val="tx1"/>
            </w14:solidFill>
          </w14:textFill>
        </w:rPr>
        <w:t xml:space="preserve">拟安排项目及实施计划 </w:t>
      </w:r>
    </w:p>
    <w:p>
      <w:pPr>
        <w:widowControl/>
        <w:ind w:firstLine="560" w:firstLineChars="200"/>
        <w:rPr>
          <w:rFonts w:hint="eastAsia" w:ascii="仿宋_GB2312" w:hAnsi="楷体" w:eastAsia="仿宋_GB2312" w:cs="楷体"/>
          <w:b/>
          <w:color w:val="000000" w:themeColor="text1"/>
          <w:kern w:val="0"/>
          <w:sz w:val="24"/>
          <w:lang w:bidi="ar"/>
          <w14:textFill>
            <w14:solidFill>
              <w14:schemeClr w14:val="tx1"/>
            </w14:solidFill>
          </w14:textFill>
        </w:rPr>
      </w:pP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根据</w:t>
      </w:r>
      <w:r>
        <w:rPr>
          <w:rFonts w:hint="eastAsia" w:ascii="仿宋_GB2312" w:hAnsi="宋体" w:eastAsia="仿宋_GB2312" w:cs="宋体"/>
          <w:color w:val="000000" w:themeColor="text1"/>
          <w:kern w:val="0"/>
          <w:sz w:val="28"/>
          <w:szCs w:val="28"/>
          <w:lang w:bidi="ar"/>
          <w14:textFill>
            <w14:solidFill>
              <w14:schemeClr w14:val="tx1"/>
            </w14:solidFill>
          </w14:textFill>
        </w:rPr>
        <w:t>项目重要性排序筛选近期拟实施土地征收的项目，形成202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w:t>
      </w:r>
      <w:r>
        <w:rPr>
          <w:rFonts w:hint="eastAsia" w:ascii="仿宋_GB2312" w:hAnsi="宋体" w:eastAsia="仿宋_GB2312" w:cs="宋体"/>
          <w:color w:val="000000" w:themeColor="text1"/>
          <w:kern w:val="0"/>
          <w:sz w:val="28"/>
          <w:szCs w:val="28"/>
          <w:lang w:bidi="ar"/>
          <w14:textFill>
            <w14:solidFill>
              <w14:schemeClr w14:val="tx1"/>
            </w14:solidFill>
          </w14:textFill>
        </w:rPr>
        <w:t>年</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项目实施</w:t>
      </w:r>
      <w:r>
        <w:rPr>
          <w:rFonts w:hint="eastAsia" w:ascii="仿宋_GB2312" w:hAnsi="宋体" w:eastAsia="仿宋_GB2312" w:cs="宋体"/>
          <w:color w:val="000000" w:themeColor="text1"/>
          <w:kern w:val="0"/>
          <w:sz w:val="28"/>
          <w:szCs w:val="28"/>
          <w:lang w:bidi="ar"/>
          <w14:textFill>
            <w14:solidFill>
              <w14:schemeClr w14:val="tx1"/>
            </w14:solidFill>
          </w14:textFill>
        </w:rPr>
        <w:t>年度计划。各成片开发</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范围</w:t>
      </w:r>
      <w:r>
        <w:rPr>
          <w:rFonts w:hint="eastAsia" w:ascii="仿宋_GB2312" w:hAnsi="宋体" w:eastAsia="仿宋_GB2312" w:cs="宋体"/>
          <w:color w:val="000000" w:themeColor="text1"/>
          <w:kern w:val="0"/>
          <w:sz w:val="28"/>
          <w:szCs w:val="28"/>
          <w:lang w:bidi="ar"/>
          <w14:textFill>
            <w14:solidFill>
              <w14:schemeClr w14:val="tx1"/>
            </w14:solidFill>
          </w14:textFill>
        </w:rPr>
        <w:t>内拟安排项目共</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58</w:t>
      </w:r>
      <w:r>
        <w:rPr>
          <w:rFonts w:hint="eastAsia" w:ascii="仿宋_GB2312" w:hAnsi="宋体" w:eastAsia="仿宋_GB2312" w:cs="宋体"/>
          <w:color w:val="000000" w:themeColor="text1"/>
          <w:kern w:val="0"/>
          <w:sz w:val="28"/>
          <w:szCs w:val="28"/>
          <w:lang w:bidi="ar"/>
          <w14:textFill>
            <w14:solidFill>
              <w14:schemeClr w14:val="tx1"/>
            </w14:solidFill>
          </w14:textFill>
        </w:rPr>
        <w:t>个</w:t>
      </w:r>
      <w:r>
        <w:rPr>
          <w:rFonts w:hint="eastAsia" w:ascii="仿宋_GB2312" w:hAnsi="宋体" w:eastAsia="仿宋_GB2312" w:cs="宋体"/>
          <w:color w:val="000000" w:themeColor="text1"/>
          <w:kern w:val="0"/>
          <w:sz w:val="28"/>
          <w:szCs w:val="28"/>
          <w:lang w:eastAsia="zh-CN" w:bidi="ar"/>
          <w14:textFill>
            <w14:solidFill>
              <w14:schemeClr w14:val="tx1"/>
            </w14:solidFill>
          </w14:textFill>
        </w:rPr>
        <w:t>（</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其中已批复项目17个</w:t>
      </w:r>
      <w:r>
        <w:rPr>
          <w:rFonts w:hint="eastAsia" w:ascii="仿宋_GB2312" w:hAnsi="宋体" w:eastAsia="仿宋_GB2312" w:cs="宋体"/>
          <w:color w:val="000000" w:themeColor="text1"/>
          <w:kern w:val="0"/>
          <w:sz w:val="28"/>
          <w:szCs w:val="28"/>
          <w:lang w:eastAsia="zh-CN" w:bidi="ar"/>
          <w14:textFill>
            <w14:solidFill>
              <w14:schemeClr w14:val="tx1"/>
            </w14:solidFill>
          </w14:textFill>
        </w:rPr>
        <w:t>）</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w:t>
      </w:r>
      <w:r>
        <w:rPr>
          <w:rFonts w:hint="eastAsia" w:ascii="仿宋_GB2312" w:hAnsi="宋体" w:eastAsia="仿宋_GB2312" w:cs="宋体"/>
          <w:color w:val="000000" w:themeColor="text1"/>
          <w:kern w:val="0"/>
          <w:sz w:val="28"/>
          <w:szCs w:val="28"/>
          <w:lang w:bidi="ar"/>
          <w14:textFill>
            <w14:solidFill>
              <w14:schemeClr w14:val="tx1"/>
            </w14:solidFill>
          </w14:textFill>
        </w:rPr>
        <w:t>总面积</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891.1096</w:t>
      </w:r>
      <w:r>
        <w:rPr>
          <w:rFonts w:hint="eastAsia" w:ascii="仿宋_GB2312" w:hAnsi="宋体" w:eastAsia="仿宋_GB2312" w:cs="宋体"/>
          <w:color w:val="000000" w:themeColor="text1"/>
          <w:kern w:val="0"/>
          <w:sz w:val="28"/>
          <w:szCs w:val="28"/>
          <w:lang w:bidi="ar"/>
          <w14:textFill>
            <w14:solidFill>
              <w14:schemeClr w14:val="tx1"/>
            </w14:solidFill>
          </w14:textFill>
        </w:rPr>
        <w:t>公顷，均计划于202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2-2024</w:t>
      </w: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年度实施。项目详细信息见下表： </w:t>
      </w:r>
    </w:p>
    <w:p>
      <w:pPr>
        <w:widowControl/>
        <w:jc w:val="center"/>
        <w:rPr>
          <w:rFonts w:hint="eastAsia" w:ascii="仿宋_GB2312" w:hAnsi="楷体" w:eastAsia="仿宋_GB2312" w:cs="楷体"/>
          <w:b/>
          <w:color w:val="000000" w:themeColor="text1"/>
          <w:kern w:val="0"/>
          <w:sz w:val="24"/>
          <w:lang w:bidi="ar"/>
          <w14:textFill>
            <w14:solidFill>
              <w14:schemeClr w14:val="tx1"/>
            </w14:solidFill>
          </w14:textFill>
        </w:rPr>
      </w:pPr>
    </w:p>
    <w:p>
      <w:pPr>
        <w:widowControl/>
        <w:jc w:val="center"/>
        <w:rPr>
          <w:rFonts w:hint="eastAsia" w:ascii="仿宋_GB2312" w:hAnsi="楷体" w:eastAsia="仿宋_GB2312" w:cs="楷体"/>
          <w:b/>
          <w:color w:val="000000" w:themeColor="text1"/>
          <w:kern w:val="0"/>
          <w:sz w:val="24"/>
          <w:lang w:bidi="ar"/>
          <w14:textFill>
            <w14:solidFill>
              <w14:schemeClr w14:val="tx1"/>
            </w14:solidFill>
          </w14:textFill>
        </w:rPr>
      </w:pPr>
      <w:r>
        <w:rPr>
          <w:rFonts w:hint="eastAsia" w:ascii="仿宋_GB2312" w:hAnsi="楷体" w:eastAsia="仿宋_GB2312" w:cs="楷体"/>
          <w:b/>
          <w:color w:val="000000" w:themeColor="text1"/>
          <w:kern w:val="0"/>
          <w:sz w:val="24"/>
          <w:lang w:bidi="ar"/>
          <w14:textFill>
            <w14:solidFill>
              <w14:schemeClr w14:val="tx1"/>
            </w14:solidFill>
          </w14:textFill>
        </w:rPr>
        <w:t>表2</w:t>
      </w:r>
      <w:r>
        <w:rPr>
          <w:rFonts w:ascii="仿宋_GB2312" w:hAnsi="楷体" w:eastAsia="仿宋_GB2312" w:cs="楷体"/>
          <w:b/>
          <w:color w:val="000000" w:themeColor="text1"/>
          <w:kern w:val="0"/>
          <w:sz w:val="24"/>
          <w:lang w:bidi="ar"/>
          <w14:textFill>
            <w14:solidFill>
              <w14:schemeClr w14:val="tx1"/>
            </w14:solidFill>
          </w14:textFill>
        </w:rPr>
        <w:t xml:space="preserve"> 增城区</w:t>
      </w:r>
      <w:r>
        <w:rPr>
          <w:rFonts w:hint="eastAsia" w:ascii="仿宋_GB2312" w:hAnsi="楷体" w:eastAsia="仿宋_GB2312" w:cs="楷体"/>
          <w:b/>
          <w:color w:val="000000" w:themeColor="text1"/>
          <w:kern w:val="0"/>
          <w:sz w:val="24"/>
          <w:lang w:bidi="ar"/>
          <w14:textFill>
            <w14:solidFill>
              <w14:schemeClr w14:val="tx1"/>
            </w14:solidFill>
          </w14:textFill>
        </w:rPr>
        <w:t>202</w:t>
      </w:r>
      <w:r>
        <w:rPr>
          <w:rFonts w:hint="eastAsia" w:ascii="仿宋_GB2312" w:hAnsi="楷体" w:eastAsia="仿宋_GB2312" w:cs="楷体"/>
          <w:b/>
          <w:color w:val="000000" w:themeColor="text1"/>
          <w:kern w:val="0"/>
          <w:sz w:val="24"/>
          <w:lang w:val="en-US" w:eastAsia="zh-CN" w:bidi="ar"/>
          <w14:textFill>
            <w14:solidFill>
              <w14:schemeClr w14:val="tx1"/>
            </w14:solidFill>
          </w14:textFill>
        </w:rPr>
        <w:t>2-2024</w:t>
      </w:r>
      <w:r>
        <w:rPr>
          <w:rFonts w:hint="eastAsia" w:ascii="仿宋_GB2312" w:hAnsi="楷体" w:eastAsia="仿宋_GB2312" w:cs="楷体"/>
          <w:b/>
          <w:color w:val="000000" w:themeColor="text1"/>
          <w:kern w:val="0"/>
          <w:sz w:val="24"/>
          <w:lang w:bidi="ar"/>
          <w14:textFill>
            <w14:solidFill>
              <w14:schemeClr w14:val="tx1"/>
            </w14:solidFill>
          </w14:textFill>
        </w:rPr>
        <w:t>年度拟实施项目一览表</w:t>
      </w:r>
    </w:p>
    <w:tbl>
      <w:tblPr>
        <w:tblStyle w:val="5"/>
        <w:tblW w:w="9074" w:type="dxa"/>
        <w:jc w:val="center"/>
        <w:tblInd w:w="-5394" w:type="dxa"/>
        <w:tblLayout w:type="fixed"/>
        <w:tblCellMar>
          <w:top w:w="0" w:type="dxa"/>
          <w:left w:w="108" w:type="dxa"/>
          <w:bottom w:w="0" w:type="dxa"/>
          <w:right w:w="108" w:type="dxa"/>
        </w:tblCellMar>
      </w:tblPr>
      <w:tblGrid>
        <w:gridCol w:w="579"/>
        <w:gridCol w:w="2534"/>
        <w:gridCol w:w="2705"/>
        <w:gridCol w:w="1772"/>
        <w:gridCol w:w="1484"/>
      </w:tblGrid>
      <w:tr>
        <w:tblPrEx>
          <w:tblLayout w:type="fixed"/>
          <w:tblCellMar>
            <w:top w:w="0" w:type="dxa"/>
            <w:left w:w="108" w:type="dxa"/>
            <w:bottom w:w="0" w:type="dxa"/>
            <w:right w:w="108" w:type="dxa"/>
          </w:tblCellMar>
        </w:tblPrEx>
        <w:trPr>
          <w:trHeight w:val="693" w:hRule="atLeast"/>
          <w:tblHeader/>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序号</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成片开发范围名称</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color w:val="000000"/>
                <w:kern w:val="0"/>
                <w:szCs w:val="21"/>
                <w:lang w:val="en-US"/>
              </w:rPr>
            </w:pPr>
            <w:r>
              <w:rPr>
                <w:rFonts w:hint="eastAsia" w:ascii="Times New Roman" w:hAnsi="Times New Roman" w:eastAsia="仿宋_GB2312" w:cs="Times New Roman"/>
                <w:b/>
                <w:color w:val="000000"/>
                <w:kern w:val="0"/>
                <w:szCs w:val="21"/>
                <w:lang w:val="en-US" w:eastAsia="zh-CN"/>
              </w:rPr>
              <w:t>项目名称</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color w:val="000000"/>
                <w:kern w:val="0"/>
                <w:szCs w:val="21"/>
                <w:lang w:val="en-US"/>
              </w:rPr>
            </w:pPr>
            <w:r>
              <w:rPr>
                <w:rFonts w:hint="eastAsia" w:ascii="Times New Roman" w:hAnsi="Times New Roman" w:eastAsia="仿宋_GB2312" w:cs="Times New Roman"/>
                <w:b/>
                <w:color w:val="000000"/>
                <w:kern w:val="0"/>
                <w:szCs w:val="21"/>
                <w:lang w:val="en-US" w:eastAsia="zh-CN"/>
              </w:rPr>
              <w:t>主导用途</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b/>
                <w:color w:val="000000"/>
                <w:kern w:val="0"/>
                <w:szCs w:val="21"/>
                <w:lang w:val="en-US"/>
              </w:rPr>
            </w:pPr>
            <w:r>
              <w:rPr>
                <w:rFonts w:hint="eastAsia" w:ascii="Times New Roman" w:hAnsi="Times New Roman" w:eastAsia="仿宋_GB2312" w:cs="Times New Roman"/>
                <w:b/>
                <w:color w:val="000000"/>
                <w:kern w:val="0"/>
                <w:szCs w:val="21"/>
                <w:lang w:val="en-US" w:eastAsia="zh-CN"/>
              </w:rPr>
              <w:t>项目用地面积（公顷）</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荔湖街罗岗片区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罗岗、石下商住地块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商服、住宅</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29.2842</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罗岗商服地块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3.8315</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新塘镇官湖、石下片区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官湖居住地块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13.5661</w:t>
            </w:r>
          </w:p>
        </w:tc>
      </w:tr>
      <w:tr>
        <w:tblPrEx>
          <w:tblLayout w:type="fixed"/>
          <w:tblCellMar>
            <w:top w:w="0" w:type="dxa"/>
            <w:left w:w="108" w:type="dxa"/>
            <w:bottom w:w="0" w:type="dxa"/>
            <w:right w:w="108" w:type="dxa"/>
          </w:tblCellMar>
        </w:tblPrEx>
        <w:trPr>
          <w:trHeight w:val="152"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罗岗、石下商住地块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商服、住宅</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12.6286</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官湖商服地块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15.2435</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中新镇乌石片区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乌石工矿地块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工矿</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2.9178</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乌石地块一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待定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34.3704</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乌石地块二</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待定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11.9604</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派潭镇大埔片区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大埔商住地块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商服、住宅</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6.1095</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中新镇团结村片区一</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团结商住地块一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商服、住宅</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9.4953</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大田、山美、团结商住地块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17.4334</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新塘镇乌石片区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乌石商服地块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商服、住宅</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27.3452</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仙村镇上境片区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上境商住地块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商服、住宅</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5.6510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仙村镇下境片区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下境商住地块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商服、住宅</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13.5490</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科教城片区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科教城商业地块一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商业用地</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35.1312</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科教城商住地块一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居住、商业、公共管理与公共服务</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43.9485</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科教城商业地块二</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商业用地</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12.5517</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科教城商住地块二</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商服、住宅</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40.4093</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永宁街新新公路西侧片区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新新公路西侧居住地块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19.6647</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岗丰居住地块一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18.8300</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九如商住地块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居住、商服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1.5991</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11</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新塘镇新墩片区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新墩居住地块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24.4453</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12</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荔湖街荔湖大道南侧片区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罗岗居住地块一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15.1029</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罗岗居住地块二</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21.5392</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罗岗、塘头居住地块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15.1080</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13</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石滩镇顾屋片区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顾屋居住地块一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15.2940</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顾屋居住地块二</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15.7851</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14</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永宁街长岗、宁西街章陂片区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长岗居住地块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8.4253</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九如、章陂工业商服地块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8.0820</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新塘镇瑶田片区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瑶田居住地块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5.9921</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瑶田商住地块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14.5298</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永宁街陂头片区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开发区综合地块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居住、商服、学校、道路</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23.9263</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陂头工业商服地块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0.2906</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石滩退二进三片区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退二进三商住地块一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11.3198</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退二进三商住地块二</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5.1927</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退二进三商住地块三</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14.5340</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退二进三商住地块四</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17.0106</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退二进三商住地块五</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18.0145</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18</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宁西街九如片区一</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九如、章陂工业商服地块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0.8890</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九如地块一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待定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10.0665</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宁西街九如片区二</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陂头工业商服地块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0.0291</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永宁街岗丰片区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岗丰居住地块二</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6.8300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21</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新塘官道片区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官道商业地块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拟由工业用途调整为商业用途</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3.3172</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22</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永宁街翟洞片区一</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翟洞商业地块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商业用地</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8.3990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23</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仙村镇碧潭片区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碧潭、沙滘工业商服地块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6.1545</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24</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仙村镇沙滘片区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碧潭、沙滘工业商服地块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0.6770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25</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中新镇团结村片区二</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大田、山美、团结商住地块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0.5640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26</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荔湖街五一片区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五一居住地块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25.2389</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27</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正果镇到蔚片区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汽车空调生产项目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1.6865</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28</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石滩镇横岭片区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增城火车站居住地块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41.3061</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29</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宁西街九如、湖中片区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九如地块二</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待定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0.4128</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九如地块三</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待定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0.4187</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九如地块一</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待定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12.0236</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湖中、章陂工业供电地块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工业、供电</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42.8226</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30</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宁西街章陂片区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湖中、章陂工业供电地块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工业、供电</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4.7105</w:t>
            </w:r>
          </w:p>
        </w:tc>
      </w:tr>
      <w:tr>
        <w:tblPrEx>
          <w:tblLayout w:type="fixed"/>
          <w:tblCellMar>
            <w:top w:w="0" w:type="dxa"/>
            <w:left w:w="108" w:type="dxa"/>
            <w:bottom w:w="0" w:type="dxa"/>
            <w:right w:w="108" w:type="dxa"/>
          </w:tblCellMar>
        </w:tblPrEx>
        <w:trPr>
          <w:trHeight w:val="288" w:hRule="atLeast"/>
          <w:jc w:val="center"/>
        </w:trPr>
        <w:tc>
          <w:tcPr>
            <w:tcW w:w="5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31</w:t>
            </w:r>
          </w:p>
        </w:tc>
        <w:tc>
          <w:tcPr>
            <w:tcW w:w="25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石滩镇沙塘片区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蔬果制品生产项目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4.8798</w:t>
            </w:r>
          </w:p>
        </w:tc>
      </w:tr>
      <w:tr>
        <w:tblPrEx>
          <w:tblLayout w:type="fixed"/>
          <w:tblCellMar>
            <w:top w:w="0" w:type="dxa"/>
            <w:left w:w="108" w:type="dxa"/>
            <w:bottom w:w="0" w:type="dxa"/>
            <w:right w:w="108" w:type="dxa"/>
          </w:tblCellMar>
        </w:tblPrEx>
        <w:trPr>
          <w:trHeight w:val="288" w:hRule="atLeast"/>
          <w:jc w:val="center"/>
        </w:trPr>
        <w:tc>
          <w:tcPr>
            <w:tcW w:w="5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5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健康产业项目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工业</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6.7179</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32</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中新镇莲塘片区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电商产业项目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工矿</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14.5200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33</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宁西街湖中、百湖片区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湖中、百湖居住项目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居住</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17.1240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34</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派潭镇上九陂、背阴片区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上九陂、背阴商服地块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7.6222</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35</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永宁街翟洞片区二</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光电设备生产项目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工矿</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44.9022</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36</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派潭镇高滩片区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高滩地块</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特殊</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4.1193</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37</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石滩镇沙头、龙地片区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沙头、龙地工矿项目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工矿</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6.6850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38</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现代农业产业项目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工矿</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4.6000</w:t>
            </w:r>
          </w:p>
        </w:tc>
      </w:tr>
      <w:tr>
        <w:tblPrEx>
          <w:tblLayout w:type="fixed"/>
          <w:tblCellMar>
            <w:top w:w="0" w:type="dxa"/>
            <w:left w:w="108" w:type="dxa"/>
            <w:bottom w:w="0" w:type="dxa"/>
            <w:right w:w="108" w:type="dxa"/>
          </w:tblCellMar>
        </w:tblPrEx>
        <w:trPr>
          <w:trHeight w:val="288" w:hRule="atLeast"/>
          <w:jc w:val="center"/>
        </w:trPr>
        <w:tc>
          <w:tcPr>
            <w:tcW w:w="5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39</w:t>
            </w:r>
          </w:p>
        </w:tc>
        <w:tc>
          <w:tcPr>
            <w:tcW w:w="25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荔湖街太平片区</w:t>
            </w:r>
          </w:p>
        </w:tc>
        <w:tc>
          <w:tcPr>
            <w:tcW w:w="270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现代设施农业项目</w:t>
            </w:r>
          </w:p>
        </w:tc>
        <w:tc>
          <w:tcPr>
            <w:tcW w:w="177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商服</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4.2806</w:t>
            </w:r>
          </w:p>
        </w:tc>
      </w:tr>
      <w:tr>
        <w:tblPrEx>
          <w:tblLayout w:type="fixed"/>
          <w:tblCellMar>
            <w:top w:w="0" w:type="dxa"/>
            <w:left w:w="108" w:type="dxa"/>
            <w:bottom w:w="0" w:type="dxa"/>
            <w:right w:w="108" w:type="dxa"/>
          </w:tblCellMar>
        </w:tblPrEx>
        <w:trPr>
          <w:trHeight w:val="288" w:hRule="atLeast"/>
          <w:jc w:val="center"/>
        </w:trPr>
        <w:tc>
          <w:tcPr>
            <w:tcW w:w="759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合计</w:t>
            </w:r>
          </w:p>
        </w:tc>
        <w:tc>
          <w:tcPr>
            <w:tcW w:w="14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891.1096</w:t>
            </w:r>
          </w:p>
        </w:tc>
      </w:tr>
    </w:tbl>
    <w:p>
      <w:pPr>
        <w:widowControl/>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val="en-US" w:eastAsia="zh-CN" w:bidi="ar"/>
          <w14:textFill>
            <w14:solidFill>
              <w14:schemeClr w14:val="tx1"/>
            </w14:solidFill>
          </w14:textFill>
        </w:rPr>
        <w:t>六</w:t>
      </w:r>
      <w:r>
        <w:rPr>
          <w:rFonts w:hint="eastAsia" w:ascii="黑体" w:hAnsi="宋体" w:eastAsia="黑体" w:cs="黑体"/>
          <w:color w:val="000000" w:themeColor="text1"/>
          <w:kern w:val="0"/>
          <w:sz w:val="32"/>
          <w:szCs w:val="32"/>
          <w:lang w:bidi="ar"/>
          <w14:textFill>
            <w14:solidFill>
              <w14:schemeClr w14:val="tx1"/>
            </w14:solidFill>
          </w14:textFill>
        </w:rPr>
        <w:t>、成片开发</w:t>
      </w:r>
      <w:r>
        <w:rPr>
          <w:rFonts w:hint="eastAsia" w:ascii="黑体" w:hAnsi="宋体" w:eastAsia="黑体" w:cs="黑体"/>
          <w:color w:val="000000" w:themeColor="text1"/>
          <w:kern w:val="0"/>
          <w:sz w:val="32"/>
          <w:szCs w:val="32"/>
          <w:lang w:val="en-US" w:eastAsia="zh-CN" w:bidi="ar"/>
          <w14:textFill>
            <w14:solidFill>
              <w14:schemeClr w14:val="tx1"/>
            </w14:solidFill>
          </w14:textFill>
        </w:rPr>
        <w:t>范围</w:t>
      </w:r>
      <w:r>
        <w:rPr>
          <w:rFonts w:hint="eastAsia" w:ascii="黑体" w:hAnsi="宋体" w:eastAsia="黑体" w:cs="黑体"/>
          <w:color w:val="000000" w:themeColor="text1"/>
          <w:kern w:val="0"/>
          <w:sz w:val="32"/>
          <w:szCs w:val="32"/>
          <w:lang w:bidi="ar"/>
          <w14:textFill>
            <w14:solidFill>
              <w14:schemeClr w14:val="tx1"/>
            </w14:solidFill>
          </w14:textFill>
        </w:rPr>
        <w:t xml:space="preserve">内公益性用地占比 </w:t>
      </w:r>
    </w:p>
    <w:p>
      <w:pPr>
        <w:widowControl/>
        <w:ind w:firstLine="560" w:firstLineChars="200"/>
      </w:pPr>
      <w:r>
        <w:rPr>
          <w:rFonts w:hint="eastAsia" w:ascii="仿宋_GB2312" w:hAnsi="宋体" w:eastAsia="仿宋_GB2312" w:cs="宋体"/>
          <w:color w:val="000000" w:themeColor="text1"/>
          <w:kern w:val="0"/>
          <w:sz w:val="28"/>
          <w:szCs w:val="28"/>
          <w:lang w:bidi="ar"/>
          <w14:textFill>
            <w14:solidFill>
              <w14:schemeClr w14:val="tx1"/>
            </w14:solidFill>
          </w14:textFill>
        </w:rPr>
        <w:t>成片开发</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范围</w:t>
      </w:r>
      <w:r>
        <w:rPr>
          <w:rFonts w:hint="eastAsia" w:ascii="仿宋_GB2312" w:hAnsi="宋体" w:eastAsia="仿宋_GB2312" w:cs="宋体"/>
          <w:color w:val="000000" w:themeColor="text1"/>
          <w:kern w:val="0"/>
          <w:sz w:val="28"/>
          <w:szCs w:val="28"/>
          <w:lang w:bidi="ar"/>
          <w14:textFill>
            <w14:solidFill>
              <w14:schemeClr w14:val="tx1"/>
            </w14:solidFill>
          </w14:textFill>
        </w:rPr>
        <w:t>内公益性用地主要为公共管理与公共服务设施用地、城市道路与交通设施用地，绿地与广场用地、公用设施用地等（用地性质以最终获批的规划为准），经核各成片开发范围规划用地情况，公益性用地占比均符合《广东省自然资源厅关于规范土地征收成片开发工作的通知》(</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粤</w:t>
      </w:r>
      <w:r>
        <w:rPr>
          <w:rFonts w:hint="eastAsia" w:ascii="仿宋_GB2312" w:hAnsi="宋体" w:eastAsia="仿宋_GB2312" w:cs="宋体"/>
          <w:color w:val="000000" w:themeColor="text1"/>
          <w:kern w:val="0"/>
          <w:sz w:val="28"/>
          <w:szCs w:val="28"/>
          <w:lang w:bidi="ar"/>
          <w14:textFill>
            <w14:solidFill>
              <w14:schemeClr w14:val="tx1"/>
            </w14:solidFill>
          </w14:textFill>
        </w:rPr>
        <w:t>自然资</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发</w:t>
      </w:r>
      <w:r>
        <w:rPr>
          <w:rFonts w:hint="eastAsia" w:ascii="仿宋_GB2312" w:hAnsi="宋体" w:eastAsia="仿宋_GB2312" w:cs="宋体"/>
          <w:color w:val="000000" w:themeColor="text1"/>
          <w:kern w:val="0"/>
          <w:sz w:val="28"/>
          <w:szCs w:val="28"/>
          <w:lang w:bidi="ar"/>
          <w14:textFill>
            <w14:solidFill>
              <w14:schemeClr w14:val="tx1"/>
            </w14:solidFill>
          </w14:textFill>
        </w:rPr>
        <w:t>〔202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1</w:t>
      </w:r>
      <w:r>
        <w:rPr>
          <w:rFonts w:hint="eastAsia" w:ascii="仿宋_GB2312" w:hAnsi="宋体" w:eastAsia="仿宋_GB2312" w:cs="宋体"/>
          <w:color w:val="000000" w:themeColor="text1"/>
          <w:kern w:val="0"/>
          <w:sz w:val="28"/>
          <w:szCs w:val="28"/>
          <w:lang w:bidi="ar"/>
          <w14:textFill>
            <w14:solidFill>
              <w14:schemeClr w14:val="tx1"/>
            </w14:solidFill>
          </w14:textFill>
        </w:rPr>
        <w:t>〕</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20</w:t>
      </w: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号)不低于40%的要求。 </w:t>
      </w:r>
    </w:p>
    <w:p>
      <w:pPr>
        <w:widowControl/>
        <w:jc w:val="center"/>
        <w:rPr>
          <w:rFonts w:hint="eastAsia" w:ascii="仿宋_GB2312" w:hAnsi="楷体" w:eastAsia="仿宋_GB2312" w:cs="楷体"/>
          <w:b/>
          <w:color w:val="000000" w:themeColor="text1"/>
          <w:kern w:val="0"/>
          <w:sz w:val="24"/>
          <w:lang w:bidi="ar"/>
          <w14:textFill>
            <w14:solidFill>
              <w14:schemeClr w14:val="tx1"/>
            </w14:solidFill>
          </w14:textFill>
        </w:rPr>
      </w:pPr>
    </w:p>
    <w:p>
      <w:pPr>
        <w:widowControl/>
        <w:jc w:val="center"/>
        <w:rPr>
          <w:rFonts w:hint="eastAsia" w:ascii="仿宋_GB2312" w:hAnsi="楷体" w:eastAsia="仿宋_GB2312" w:cs="楷体"/>
          <w:b/>
          <w:color w:val="000000" w:themeColor="text1"/>
          <w:kern w:val="0"/>
          <w:sz w:val="24"/>
          <w:lang w:bidi="ar"/>
          <w14:textFill>
            <w14:solidFill>
              <w14:schemeClr w14:val="tx1"/>
            </w14:solidFill>
          </w14:textFill>
        </w:rPr>
      </w:pPr>
      <w:r>
        <w:rPr>
          <w:rFonts w:hint="eastAsia" w:ascii="仿宋_GB2312" w:hAnsi="楷体" w:eastAsia="仿宋_GB2312" w:cs="楷体"/>
          <w:b/>
          <w:color w:val="000000" w:themeColor="text1"/>
          <w:kern w:val="0"/>
          <w:sz w:val="24"/>
          <w:lang w:bidi="ar"/>
          <w14:textFill>
            <w14:solidFill>
              <w14:schemeClr w14:val="tx1"/>
            </w14:solidFill>
          </w14:textFill>
        </w:rPr>
        <w:t>表3增城区成片开发</w:t>
      </w:r>
      <w:r>
        <w:rPr>
          <w:rFonts w:hint="eastAsia" w:ascii="仿宋_GB2312" w:hAnsi="楷体" w:eastAsia="仿宋_GB2312" w:cs="楷体"/>
          <w:b/>
          <w:color w:val="000000" w:themeColor="text1"/>
          <w:kern w:val="0"/>
          <w:sz w:val="24"/>
          <w:lang w:val="en-US" w:eastAsia="zh-CN" w:bidi="ar"/>
          <w14:textFill>
            <w14:solidFill>
              <w14:schemeClr w14:val="tx1"/>
            </w14:solidFill>
          </w14:textFill>
        </w:rPr>
        <w:t>范围</w:t>
      </w:r>
      <w:r>
        <w:rPr>
          <w:rFonts w:hint="eastAsia" w:ascii="仿宋_GB2312" w:hAnsi="楷体" w:eastAsia="仿宋_GB2312" w:cs="楷体"/>
          <w:b/>
          <w:color w:val="000000" w:themeColor="text1"/>
          <w:kern w:val="0"/>
          <w:sz w:val="24"/>
          <w:lang w:bidi="ar"/>
          <w14:textFill>
            <w14:solidFill>
              <w14:schemeClr w14:val="tx1"/>
            </w14:solidFill>
          </w14:textFill>
        </w:rPr>
        <w:t xml:space="preserve">公益性用地占比情况一览表 </w:t>
      </w:r>
    </w:p>
    <w:tbl>
      <w:tblPr>
        <w:tblStyle w:val="5"/>
        <w:tblW w:w="8979" w:type="dxa"/>
        <w:jc w:val="center"/>
        <w:tblInd w:w="-2922" w:type="dxa"/>
        <w:tblLayout w:type="fixed"/>
        <w:tblCellMar>
          <w:top w:w="0" w:type="dxa"/>
          <w:left w:w="108" w:type="dxa"/>
          <w:bottom w:w="0" w:type="dxa"/>
          <w:right w:w="108" w:type="dxa"/>
        </w:tblCellMar>
      </w:tblPr>
      <w:tblGrid>
        <w:gridCol w:w="759"/>
        <w:gridCol w:w="3055"/>
        <w:gridCol w:w="1500"/>
        <w:gridCol w:w="1745"/>
        <w:gridCol w:w="1920"/>
      </w:tblGrid>
      <w:tr>
        <w:tblPrEx>
          <w:tblLayout w:type="fixed"/>
          <w:tblCellMar>
            <w:top w:w="0" w:type="dxa"/>
            <w:left w:w="108" w:type="dxa"/>
            <w:bottom w:w="0" w:type="dxa"/>
            <w:right w:w="108" w:type="dxa"/>
          </w:tblCellMar>
        </w:tblPrEx>
        <w:trPr>
          <w:trHeight w:val="693" w:hRule="atLeast"/>
          <w:tblHeader/>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序号</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成片开发范围名称</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b/>
                <w:color w:val="000000"/>
                <w:kern w:val="0"/>
                <w:szCs w:val="21"/>
                <w:lang w:val="en-US" w:eastAsia="zh-CN"/>
              </w:rPr>
            </w:pPr>
            <w:r>
              <w:rPr>
                <w:rFonts w:hint="eastAsia" w:ascii="Times New Roman" w:hAnsi="Times New Roman" w:eastAsia="仿宋_GB2312" w:cs="Times New Roman"/>
                <w:b/>
                <w:color w:val="000000"/>
                <w:kern w:val="0"/>
                <w:szCs w:val="21"/>
                <w:lang w:val="en-US" w:eastAsia="zh-CN"/>
              </w:rPr>
              <w:t>片区面积</w:t>
            </w:r>
          </w:p>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（公顷）</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b/>
                <w:color w:val="000000"/>
                <w:kern w:val="0"/>
                <w:szCs w:val="21"/>
                <w:lang w:val="en-US" w:eastAsia="zh-CN"/>
              </w:rPr>
            </w:pPr>
            <w:r>
              <w:rPr>
                <w:rFonts w:hint="eastAsia" w:ascii="Times New Roman" w:hAnsi="Times New Roman" w:eastAsia="仿宋_GB2312" w:cs="Times New Roman"/>
                <w:b/>
                <w:color w:val="000000"/>
                <w:kern w:val="0"/>
                <w:szCs w:val="21"/>
                <w:lang w:val="en-US" w:eastAsia="zh-CN"/>
              </w:rPr>
              <w:t>公益性用地面积</w:t>
            </w:r>
          </w:p>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（公顷）</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公益性用地占比</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荔湖街罗岗片区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70.4572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31.5419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44.77%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新塘镇官湖、石下片区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64.9024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36.3966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56.08%</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中新镇乌石片区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85.7772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36.1634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42.16%</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派潭镇大埔片区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8.5249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5.1988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60.98%</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中新镇团结村片区一</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58.8332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30.9036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52.53%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新塘镇乌石片区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34.1222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22.1367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64.87%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仙村镇上境片区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10.0543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5.9137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58.82%</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仙村镇下境片区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15.2915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8.4419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55.21%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科教城片区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387.7694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278.5310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71.83%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永宁街新新公路西侧片区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74.9253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36.2720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48.41%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11</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新塘镇新墩片区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39.8306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19.5955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49.20%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12</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荔湖街荔湖大道南侧片区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135.8715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56.9787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41.94%</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13</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石滩镇顾屋片区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53.6161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28.3548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52.88%</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14</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永宁街长岗、宁西街章陂片区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30.0810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14.6850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48.82%</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新塘镇瑶田片区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49.9563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28.9098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57.87%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永宁街陂头片区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43.5510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23.9180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54.92%</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石滩退二进三片区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123.0710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58.0965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47.21%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18</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宁西街九如片区一</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23.7706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11.4750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48.27%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宁西街九如片区二</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0.1821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0.1132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62.13%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永宁街岗丰片区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14.0202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6.3916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45.59%</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21</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新塘官道片区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4.7571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3.0728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64.59%</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22</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永宁街翟洞片区一</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12.7126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5.5910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43.98%</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23</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仙村镇碧潭片区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9.3144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3.8103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40.91%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24</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仙村镇沙滘片区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1.0971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1.0854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98.93%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25</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中新镇团结村片区二</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1.2217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0.6075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49.73%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26</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荔湖街五一片区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56.5464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23.0170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40.70%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27</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正果镇到蔚片区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8.7283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4.0926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46.89%</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28</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石滩镇横岭片区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41.9308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30.5556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72.87%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29</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宁西街九如、湖中片区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112.7577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46.2656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41.03%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30</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宁西街章陂片区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8.4260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3.8480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45.67%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31</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石滩镇沙塘片区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28.4470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11.4442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40.23%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32</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中新镇莲塘片区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24.6574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11.5666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46.91%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33</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宁西街湖中、百湖片区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24.5831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10.9219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44.43%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34</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派潭镇上九陂、背阴片区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7.6222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35</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永宁街翟洞片区二</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44.9022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36</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派潭镇高滩片区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4.1193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37</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石滩镇沙头、龙地片区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6.6850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38</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4.6000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39</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荔湖街太平片区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4.2806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w:t>
            </w:r>
          </w:p>
        </w:tc>
      </w:tr>
      <w:tr>
        <w:tblPrEx>
          <w:tblLayout w:type="fixed"/>
          <w:tblCellMar>
            <w:top w:w="0" w:type="dxa"/>
            <w:left w:w="108" w:type="dxa"/>
            <w:bottom w:w="0" w:type="dxa"/>
            <w:right w:w="108" w:type="dxa"/>
          </w:tblCellMar>
        </w:tblPrEx>
        <w:trPr>
          <w:trHeight w:val="288" w:hRule="atLeast"/>
          <w:jc w:val="center"/>
        </w:trPr>
        <w:tc>
          <w:tcPr>
            <w:tcW w:w="381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合计</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1731.9972 </w:t>
            </w:r>
          </w:p>
        </w:tc>
        <w:tc>
          <w:tcPr>
            <w:tcW w:w="174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895.8960 </w:t>
            </w:r>
          </w:p>
        </w:tc>
        <w:tc>
          <w:tcPr>
            <w:tcW w:w="192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51.73%</w:t>
            </w:r>
          </w:p>
        </w:tc>
      </w:tr>
    </w:tbl>
    <w:p>
      <w:pPr>
        <w:pStyle w:val="2"/>
        <w:rPr>
          <w:rFonts w:hint="eastAsia"/>
          <w:lang w:val="en-US" w:eastAsia="zh-CN"/>
        </w:rPr>
      </w:pPr>
    </w:p>
    <w:p>
      <w:pPr>
        <w:widowControl/>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val="en-US" w:eastAsia="zh-CN" w:bidi="ar"/>
          <w14:textFill>
            <w14:solidFill>
              <w14:schemeClr w14:val="tx1"/>
            </w14:solidFill>
          </w14:textFill>
        </w:rPr>
        <w:t>七</w:t>
      </w:r>
      <w:r>
        <w:rPr>
          <w:rFonts w:hint="eastAsia" w:ascii="黑体" w:hAnsi="宋体" w:eastAsia="黑体" w:cs="黑体"/>
          <w:color w:val="000000" w:themeColor="text1"/>
          <w:kern w:val="0"/>
          <w:sz w:val="32"/>
          <w:szCs w:val="32"/>
          <w:lang w:bidi="ar"/>
          <w14:textFill>
            <w14:solidFill>
              <w14:schemeClr w14:val="tx1"/>
            </w14:solidFill>
          </w14:textFill>
        </w:rPr>
        <w:t xml:space="preserve">、成片开发效益评估 </w:t>
      </w:r>
    </w:p>
    <w:p>
      <w:pPr>
        <w:widowControl/>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bidi="ar"/>
          <w14:textFill>
            <w14:solidFill>
              <w14:schemeClr w14:val="tx1"/>
            </w14:solidFill>
          </w14:textFill>
        </w:rPr>
        <w:t xml:space="preserve">（一）土地利用效益评估 </w:t>
      </w:r>
    </w:p>
    <w:p>
      <w:pPr>
        <w:widowControl/>
        <w:ind w:firstLine="560" w:firstLineChars="200"/>
        <w:rPr>
          <w:rFonts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成片开发有利于优化新增建设用地空间布局，满足增城区现代产业发展用地需求；有利于强化存量建设用地效能提升，为缓解增城区建设用地供需矛盾提供有效抓手，提高建设用地集约利用水平，推动存量时代，增城区土地利用向高质量发展转变。 </w:t>
      </w:r>
    </w:p>
    <w:p>
      <w:pPr>
        <w:widowControl/>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bidi="ar"/>
          <w14:textFill>
            <w14:solidFill>
              <w14:schemeClr w14:val="tx1"/>
            </w14:solidFill>
          </w14:textFill>
        </w:rPr>
        <w:t xml:space="preserve">（二）经济、社会效益评估 </w:t>
      </w:r>
    </w:p>
    <w:p>
      <w:pPr>
        <w:widowControl/>
        <w:ind w:firstLine="560" w:firstLineChars="200"/>
        <w:rPr>
          <w:rFonts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成片开发方案的编制可有效促进增城区优势产业的集聚发展以及原始创新平台的形成，加快区域经济格局的重构，推动增城区实现产业动能升级转换，助力增城区高质量发展；可有力保障增城区近期产业发展、城市更新项目等项目的土地征收报批工作，提升土地利用效率及城市品质、改善城市环境；可有效推动留用地项目土地征收报批工作，落实相关村社集体发展需求，切实保障被征地农民的合法权益，全力助推乡村振兴战略实施。 </w:t>
      </w:r>
    </w:p>
    <w:p>
      <w:pPr>
        <w:widowControl/>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bidi="ar"/>
          <w14:textFill>
            <w14:solidFill>
              <w14:schemeClr w14:val="tx1"/>
            </w14:solidFill>
          </w14:textFill>
        </w:rPr>
        <w:t xml:space="preserve">（三）生态效益评估 </w:t>
      </w:r>
    </w:p>
    <w:p>
      <w:pPr>
        <w:widowControl/>
        <w:ind w:firstLine="560" w:firstLineChars="200"/>
        <w:rPr>
          <w:rFonts w:hint="eastAsia"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成片开发范围内不涉及国土空间总体规划永久基本农田、自然保护地、陆域生态保护红线、蓝线、绿线等生态底线管控要素，符合生态环境保护要求。拟安排项目应结合项目类型采取有效的环境影响保护控制及削减措施，避免对区域大气环境、生态环境、地下水环境、土壤环境产生超出环境容量的影响，后续应依托优质山水生态资源，开发建设注重结合自然地理特征，避免破坏区域的自然生态环境，结合详细规划设计提供多元的城市生态空间，提升区域生态环境品质。 </w:t>
      </w:r>
    </w:p>
    <w:p>
      <w:pPr>
        <w:pStyle w:val="2"/>
        <w:rPr>
          <w:rFonts w:hint="eastAsia"/>
          <w:lang w:val="en-US" w:eastAsia="zh-CN"/>
        </w:rPr>
      </w:pPr>
    </w:p>
    <w:p>
      <w:pPr>
        <w:numPr>
          <w:ilvl w:val="0"/>
          <w:numId w:val="0"/>
        </w:numPr>
        <w:tabs>
          <w:tab w:val="left" w:pos="291"/>
        </w:tabs>
        <w:rPr>
          <w:rFonts w:hint="eastAsia" w:ascii="黑体" w:hAnsi="宋体" w:eastAsia="黑体" w:cs="黑体"/>
          <w:color w:val="000000" w:themeColor="text1"/>
          <w:kern w:val="0"/>
          <w:sz w:val="32"/>
          <w:szCs w:val="32"/>
          <w:lang w:bidi="ar"/>
          <w14:textFill>
            <w14:solidFill>
              <w14:schemeClr w14:val="tx1"/>
            </w14:solidFill>
          </w14:textFill>
        </w:rPr>
      </w:pPr>
      <w:r>
        <w:rPr>
          <w:rFonts w:hint="eastAsia" w:ascii="黑体" w:hAnsi="宋体" w:eastAsia="黑体" w:cs="黑体"/>
          <w:color w:val="000000" w:themeColor="text1"/>
          <w:kern w:val="0"/>
          <w:sz w:val="32"/>
          <w:szCs w:val="32"/>
          <w:lang w:val="en-US" w:eastAsia="zh-CN" w:bidi="ar"/>
          <w14:textFill>
            <w14:solidFill>
              <w14:schemeClr w14:val="tx1"/>
            </w14:solidFill>
          </w14:textFill>
        </w:rPr>
        <w:t>八、</w:t>
      </w:r>
      <w:r>
        <w:rPr>
          <w:rFonts w:hint="eastAsia" w:ascii="黑体" w:hAnsi="宋体" w:eastAsia="黑体" w:cs="黑体"/>
          <w:color w:val="000000" w:themeColor="text1"/>
          <w:kern w:val="0"/>
          <w:sz w:val="32"/>
          <w:szCs w:val="32"/>
          <w:lang w:bidi="ar"/>
          <w14:textFill>
            <w14:solidFill>
              <w14:schemeClr w14:val="tx1"/>
            </w14:solidFill>
          </w14:textFill>
        </w:rPr>
        <w:t>成片开发</w:t>
      </w:r>
      <w:r>
        <w:rPr>
          <w:rFonts w:hint="eastAsia" w:ascii="黑体" w:hAnsi="宋体" w:eastAsia="黑体" w:cs="黑体"/>
          <w:color w:val="000000" w:themeColor="text1"/>
          <w:kern w:val="0"/>
          <w:sz w:val="32"/>
          <w:szCs w:val="32"/>
          <w:lang w:val="en-US" w:eastAsia="zh-CN" w:bidi="ar"/>
          <w14:textFill>
            <w14:solidFill>
              <w14:schemeClr w14:val="tx1"/>
            </w14:solidFill>
          </w14:textFill>
        </w:rPr>
        <w:t>范围内拟征收地块面积占比</w:t>
      </w:r>
    </w:p>
    <w:p>
      <w:pPr>
        <w:widowControl/>
        <w:ind w:firstLine="560" w:firstLineChars="200"/>
        <w:rPr>
          <w:rFonts w:hint="eastAsia"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依据国土空间规划确定的一个完整的土地征收成片开发范围内</w:t>
      </w:r>
      <w:r>
        <w:rPr>
          <w:rFonts w:hint="eastAsia" w:ascii="仿宋_GB2312" w:hAnsi="宋体" w:eastAsia="仿宋_GB2312" w:cs="宋体"/>
          <w:color w:val="000000" w:themeColor="text1"/>
          <w:kern w:val="0"/>
          <w:sz w:val="28"/>
          <w:szCs w:val="28"/>
          <w:lang w:bidi="ar"/>
          <w14:textFill>
            <w14:solidFill>
              <w14:schemeClr w14:val="tx1"/>
            </w14:solidFill>
          </w14:textFill>
        </w:rPr>
        <w:t>，</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可包含多个拟征收地块。</w:t>
      </w:r>
      <w:r>
        <w:rPr>
          <w:rFonts w:hint="eastAsia" w:ascii="仿宋_GB2312" w:hAnsi="宋体" w:eastAsia="仿宋_GB2312" w:cs="宋体"/>
          <w:color w:val="000000" w:themeColor="text1"/>
          <w:kern w:val="0"/>
          <w:sz w:val="28"/>
          <w:szCs w:val="28"/>
          <w:lang w:bidi="ar"/>
          <w14:textFill>
            <w14:solidFill>
              <w14:schemeClr w14:val="tx1"/>
            </w14:solidFill>
          </w14:textFill>
        </w:rPr>
        <w:t>经核各成片开发</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区域内拟征收地块</w:t>
      </w:r>
      <w:r>
        <w:rPr>
          <w:rFonts w:hint="eastAsia" w:ascii="仿宋_GB2312" w:hAnsi="宋体" w:eastAsia="仿宋_GB2312" w:cs="宋体"/>
          <w:color w:val="000000" w:themeColor="text1"/>
          <w:kern w:val="0"/>
          <w:sz w:val="28"/>
          <w:szCs w:val="28"/>
          <w:lang w:bidi="ar"/>
          <w14:textFill>
            <w14:solidFill>
              <w14:schemeClr w14:val="tx1"/>
            </w14:solidFill>
          </w14:textFill>
        </w:rPr>
        <w:t>情况，</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拟征收地块面积</w:t>
      </w:r>
      <w:r>
        <w:rPr>
          <w:rFonts w:hint="eastAsia" w:ascii="仿宋_GB2312" w:hAnsi="宋体" w:eastAsia="仿宋_GB2312" w:cs="宋体"/>
          <w:color w:val="000000" w:themeColor="text1"/>
          <w:kern w:val="0"/>
          <w:sz w:val="28"/>
          <w:szCs w:val="28"/>
          <w:lang w:bidi="ar"/>
          <w14:textFill>
            <w14:solidFill>
              <w14:schemeClr w14:val="tx1"/>
            </w14:solidFill>
          </w14:textFill>
        </w:rPr>
        <w:t>占比均符合《广东省自然资源厅关于规范土地征收成片开发工作的通知》(</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粤</w:t>
      </w:r>
      <w:r>
        <w:rPr>
          <w:rFonts w:hint="eastAsia" w:ascii="仿宋_GB2312" w:hAnsi="宋体" w:eastAsia="仿宋_GB2312" w:cs="宋体"/>
          <w:color w:val="000000" w:themeColor="text1"/>
          <w:kern w:val="0"/>
          <w:sz w:val="28"/>
          <w:szCs w:val="28"/>
          <w:lang w:bidi="ar"/>
          <w14:textFill>
            <w14:solidFill>
              <w14:schemeClr w14:val="tx1"/>
            </w14:solidFill>
          </w14:textFill>
        </w:rPr>
        <w:t>自然资</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发</w:t>
      </w:r>
      <w:r>
        <w:rPr>
          <w:rFonts w:hint="eastAsia" w:ascii="仿宋_GB2312" w:hAnsi="宋体" w:eastAsia="仿宋_GB2312" w:cs="宋体"/>
          <w:color w:val="000000" w:themeColor="text1"/>
          <w:kern w:val="0"/>
          <w:sz w:val="28"/>
          <w:szCs w:val="28"/>
          <w:lang w:bidi="ar"/>
          <w14:textFill>
            <w14:solidFill>
              <w14:schemeClr w14:val="tx1"/>
            </w14:solidFill>
          </w14:textFill>
        </w:rPr>
        <w:t>〔202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1</w:t>
      </w:r>
      <w:r>
        <w:rPr>
          <w:rFonts w:hint="eastAsia" w:ascii="仿宋_GB2312" w:hAnsi="宋体" w:eastAsia="仿宋_GB2312" w:cs="宋体"/>
          <w:color w:val="000000" w:themeColor="text1"/>
          <w:kern w:val="0"/>
          <w:sz w:val="28"/>
          <w:szCs w:val="28"/>
          <w:lang w:bidi="ar"/>
          <w14:textFill>
            <w14:solidFill>
              <w14:schemeClr w14:val="tx1"/>
            </w14:solidFill>
          </w14:textFill>
        </w:rPr>
        <w:t>〕</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20</w:t>
      </w:r>
      <w:r>
        <w:rPr>
          <w:rFonts w:hint="eastAsia" w:ascii="仿宋_GB2312" w:hAnsi="宋体" w:eastAsia="仿宋_GB2312" w:cs="宋体"/>
          <w:color w:val="000000" w:themeColor="text1"/>
          <w:kern w:val="0"/>
          <w:sz w:val="28"/>
          <w:szCs w:val="28"/>
          <w:lang w:bidi="ar"/>
          <w14:textFill>
            <w14:solidFill>
              <w14:schemeClr w14:val="tx1"/>
            </w14:solidFill>
          </w14:textFill>
        </w:rPr>
        <w:t>号)不低于</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60</w:t>
      </w:r>
      <w:r>
        <w:rPr>
          <w:rFonts w:hint="eastAsia" w:ascii="仿宋_GB2312" w:hAnsi="宋体" w:eastAsia="仿宋_GB2312" w:cs="宋体"/>
          <w:color w:val="000000" w:themeColor="text1"/>
          <w:kern w:val="0"/>
          <w:sz w:val="28"/>
          <w:szCs w:val="28"/>
          <w:lang w:bidi="ar"/>
          <w14:textFill>
            <w14:solidFill>
              <w14:schemeClr w14:val="tx1"/>
            </w14:solidFill>
          </w14:textFill>
        </w:rPr>
        <w:t xml:space="preserve">%的要求。 </w:t>
      </w:r>
    </w:p>
    <w:p>
      <w:pPr>
        <w:widowControl/>
        <w:jc w:val="center"/>
        <w:rPr>
          <w:rFonts w:hint="eastAsia" w:ascii="仿宋_GB2312" w:hAnsi="楷体" w:eastAsia="仿宋_GB2312" w:cs="楷体"/>
          <w:b/>
          <w:color w:val="000000" w:themeColor="text1"/>
          <w:kern w:val="0"/>
          <w:sz w:val="24"/>
          <w:lang w:bidi="ar"/>
          <w14:textFill>
            <w14:solidFill>
              <w14:schemeClr w14:val="tx1"/>
            </w14:solidFill>
          </w14:textFill>
        </w:rPr>
      </w:pPr>
    </w:p>
    <w:p>
      <w:pPr>
        <w:widowControl/>
        <w:jc w:val="center"/>
        <w:rPr>
          <w:rFonts w:hint="eastAsia" w:ascii="仿宋_GB2312" w:hAnsi="楷体" w:eastAsia="仿宋_GB2312" w:cs="楷体"/>
          <w:b/>
          <w:color w:val="000000" w:themeColor="text1"/>
          <w:kern w:val="0"/>
          <w:sz w:val="24"/>
          <w:lang w:bidi="ar"/>
          <w14:textFill>
            <w14:solidFill>
              <w14:schemeClr w14:val="tx1"/>
            </w14:solidFill>
          </w14:textFill>
        </w:rPr>
      </w:pPr>
      <w:r>
        <w:rPr>
          <w:rFonts w:hint="eastAsia" w:ascii="仿宋_GB2312" w:hAnsi="楷体" w:eastAsia="仿宋_GB2312" w:cs="楷体"/>
          <w:b/>
          <w:color w:val="000000" w:themeColor="text1"/>
          <w:kern w:val="0"/>
          <w:sz w:val="24"/>
          <w:lang w:bidi="ar"/>
          <w14:textFill>
            <w14:solidFill>
              <w14:schemeClr w14:val="tx1"/>
            </w14:solidFill>
          </w14:textFill>
        </w:rPr>
        <w:t>表</w:t>
      </w:r>
      <w:r>
        <w:rPr>
          <w:rFonts w:hint="eastAsia" w:ascii="仿宋_GB2312" w:hAnsi="楷体" w:eastAsia="仿宋_GB2312" w:cs="楷体"/>
          <w:b/>
          <w:color w:val="000000" w:themeColor="text1"/>
          <w:kern w:val="0"/>
          <w:sz w:val="24"/>
          <w:lang w:val="en-US" w:eastAsia="zh-CN" w:bidi="ar"/>
          <w14:textFill>
            <w14:solidFill>
              <w14:schemeClr w14:val="tx1"/>
            </w14:solidFill>
          </w14:textFill>
        </w:rPr>
        <w:t>4</w:t>
      </w:r>
      <w:r>
        <w:rPr>
          <w:rFonts w:hint="eastAsia" w:ascii="仿宋_GB2312" w:hAnsi="楷体" w:eastAsia="仿宋_GB2312" w:cs="楷体"/>
          <w:b/>
          <w:color w:val="000000" w:themeColor="text1"/>
          <w:kern w:val="0"/>
          <w:sz w:val="24"/>
          <w:lang w:bidi="ar"/>
          <w14:textFill>
            <w14:solidFill>
              <w14:schemeClr w14:val="tx1"/>
            </w14:solidFill>
          </w14:textFill>
        </w:rPr>
        <w:t>增城区成片开发</w:t>
      </w:r>
      <w:r>
        <w:rPr>
          <w:rFonts w:hint="eastAsia" w:ascii="仿宋_GB2312" w:hAnsi="楷体" w:eastAsia="仿宋_GB2312" w:cs="楷体"/>
          <w:b/>
          <w:color w:val="000000" w:themeColor="text1"/>
          <w:kern w:val="0"/>
          <w:sz w:val="24"/>
          <w:lang w:val="en-US" w:eastAsia="zh-CN" w:bidi="ar"/>
          <w14:textFill>
            <w14:solidFill>
              <w14:schemeClr w14:val="tx1"/>
            </w14:solidFill>
          </w14:textFill>
        </w:rPr>
        <w:t>范围内拟征收地块面积</w:t>
      </w:r>
      <w:r>
        <w:rPr>
          <w:rFonts w:hint="eastAsia" w:ascii="仿宋_GB2312" w:hAnsi="楷体" w:eastAsia="仿宋_GB2312" w:cs="楷体"/>
          <w:b/>
          <w:color w:val="000000" w:themeColor="text1"/>
          <w:kern w:val="0"/>
          <w:sz w:val="24"/>
          <w:lang w:bidi="ar"/>
          <w14:textFill>
            <w14:solidFill>
              <w14:schemeClr w14:val="tx1"/>
            </w14:solidFill>
          </w14:textFill>
        </w:rPr>
        <w:t xml:space="preserve">占比情况一览表 </w:t>
      </w:r>
    </w:p>
    <w:tbl>
      <w:tblPr>
        <w:tblStyle w:val="5"/>
        <w:tblW w:w="8979" w:type="dxa"/>
        <w:jc w:val="center"/>
        <w:tblInd w:w="-2922" w:type="dxa"/>
        <w:tblLayout w:type="fixed"/>
        <w:tblCellMar>
          <w:top w:w="0" w:type="dxa"/>
          <w:left w:w="108" w:type="dxa"/>
          <w:bottom w:w="0" w:type="dxa"/>
          <w:right w:w="108" w:type="dxa"/>
        </w:tblCellMar>
      </w:tblPr>
      <w:tblGrid>
        <w:gridCol w:w="759"/>
        <w:gridCol w:w="3055"/>
        <w:gridCol w:w="1500"/>
        <w:gridCol w:w="1875"/>
        <w:gridCol w:w="1790"/>
      </w:tblGrid>
      <w:tr>
        <w:tblPrEx>
          <w:tblLayout w:type="fixed"/>
          <w:tblCellMar>
            <w:top w:w="0" w:type="dxa"/>
            <w:left w:w="108" w:type="dxa"/>
            <w:bottom w:w="0" w:type="dxa"/>
            <w:right w:w="108" w:type="dxa"/>
          </w:tblCellMar>
        </w:tblPrEx>
        <w:trPr>
          <w:trHeight w:val="693" w:hRule="atLeast"/>
          <w:tblHeader/>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序号</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成片开发范围名称</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b/>
                <w:color w:val="000000"/>
                <w:kern w:val="0"/>
                <w:szCs w:val="21"/>
                <w:lang w:val="en-US" w:eastAsia="zh-CN"/>
              </w:rPr>
            </w:pPr>
            <w:r>
              <w:rPr>
                <w:rFonts w:hint="eastAsia" w:ascii="Times New Roman" w:hAnsi="Times New Roman" w:eastAsia="仿宋_GB2312" w:cs="Times New Roman"/>
                <w:b/>
                <w:color w:val="000000"/>
                <w:kern w:val="0"/>
                <w:szCs w:val="21"/>
                <w:lang w:val="en-US" w:eastAsia="zh-CN"/>
              </w:rPr>
              <w:t>片区面积</w:t>
            </w:r>
          </w:p>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（公顷）</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b/>
                <w:color w:val="000000"/>
                <w:kern w:val="0"/>
                <w:szCs w:val="21"/>
                <w:lang w:val="en-US" w:eastAsia="zh-CN"/>
              </w:rPr>
            </w:pPr>
            <w:r>
              <w:rPr>
                <w:rFonts w:hint="eastAsia" w:ascii="Times New Roman" w:hAnsi="Times New Roman" w:eastAsia="仿宋_GB2312" w:cs="Times New Roman"/>
                <w:b/>
                <w:color w:val="000000"/>
                <w:kern w:val="0"/>
                <w:szCs w:val="21"/>
                <w:lang w:val="en-US" w:eastAsia="zh-CN"/>
              </w:rPr>
              <w:t>拟征收地块面积</w:t>
            </w:r>
          </w:p>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（公顷）</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color w:val="000000"/>
                <w:kern w:val="0"/>
                <w:szCs w:val="21"/>
              </w:rPr>
            </w:pPr>
            <w:r>
              <w:rPr>
                <w:rFonts w:hint="eastAsia" w:ascii="Times New Roman" w:hAnsi="Times New Roman" w:eastAsia="仿宋_GB2312" w:cs="Times New Roman"/>
                <w:b/>
                <w:color w:val="000000"/>
                <w:kern w:val="0"/>
                <w:szCs w:val="21"/>
                <w:lang w:val="en-US" w:eastAsia="zh-CN"/>
              </w:rPr>
              <w:t>拟征收地块面积占比</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荔湖街罗岗片区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70.4572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51.1100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72.54%</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新塘镇官湖、石下片区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64.9024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53.3961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82.27%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中新镇乌石片区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85.7772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72.8462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84.93%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4</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派潭镇大埔片区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8.5249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6.5888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77.29%</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5</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中新镇团结村片区一</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58.8332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50.2682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85.44%</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新塘镇乌石片区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34.1222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34.1144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99.98%</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仙村镇上境片区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10.0543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8.7163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86.69%</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仙村镇下境片区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15.2915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15.2768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99.90%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科教城片区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387.7694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236.3480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60.95%</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永宁街新新公路西侧片区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74.9253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47.3757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63.23%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11</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新塘镇新墩片区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39.8306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24.1607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60.66%</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12</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荔湖街荔湖大道南侧片区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135.8715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108.9850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80.21%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13</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石滩镇顾屋片区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53.6161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33.4795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62.44%</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14</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永宁街长岗、宁西街章陂片区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30.0810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26.7421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88.90%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15</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新塘镇瑶田片区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49.9563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31.9704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64.00%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16</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永宁街陂头片区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43.5510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28.1273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64.58%</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17</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石滩退二进三片区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123.0710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90.3199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73.39%</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18</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宁西街九如片区一</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23.7706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14.2880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60.11%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19</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宁西街九如片区二</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0.1821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0.1821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20</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永宁街岗丰片区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14.0202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10.2722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73.27%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21</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新塘官道片区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4.7571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3.4941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73.45%</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22</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永宁街翟洞片区一</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12.7126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11.0358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86.81%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23</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仙村镇碧潭片区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9.3144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6.4240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68.97%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24</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仙村镇沙滘片区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1.0971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0.6773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61.74%</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25</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中新镇团结村片区二</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1.2217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1.1036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90.33%</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26</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荔湖街五一片区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56.5464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50.1030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88.61%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27</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正果镇到蔚片区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8.7283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5.5465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63.55%</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28</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石滩镇横岭片区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41.9308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40.0805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95.59%</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29</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宁西街九如、湖中片区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112.7577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96.7118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85.77%</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30</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宁西街章陂片区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8.4260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7.2389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85.91%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31</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石滩镇沙塘片区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28.4470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17.2137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60.51%</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32</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中新镇莲塘片区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24.6574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24.6574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33</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宁西街湖中、百湖片区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24.5831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19.4095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78.95%</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34</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派潭镇上九陂、背阴片区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7.6222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7.6222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35</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永宁街翟洞片区二</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44.9022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44.9022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36</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派潭镇高滩片区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4.1193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4.1193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37</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石滩镇沙头、龙地片区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6.6850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6.6850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38</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石滩镇沙头片区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4.6000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4.6000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r>
      <w:tr>
        <w:tblPrEx>
          <w:tblLayout w:type="fixed"/>
          <w:tblCellMar>
            <w:top w:w="0" w:type="dxa"/>
            <w:left w:w="108" w:type="dxa"/>
            <w:bottom w:w="0" w:type="dxa"/>
            <w:right w:w="108" w:type="dxa"/>
          </w:tblCellMar>
        </w:tblPrEx>
        <w:trPr>
          <w:trHeight w:val="288" w:hRule="atLeast"/>
          <w:jc w:val="center"/>
        </w:trPr>
        <w:tc>
          <w:tcPr>
            <w:tcW w:w="7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39</w:t>
            </w:r>
          </w:p>
        </w:tc>
        <w:tc>
          <w:tcPr>
            <w:tcW w:w="30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荔湖街太平片区</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4.2806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4.2806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100.00%</w:t>
            </w:r>
          </w:p>
        </w:tc>
      </w:tr>
      <w:tr>
        <w:tblPrEx>
          <w:tblLayout w:type="fixed"/>
          <w:tblCellMar>
            <w:top w:w="0" w:type="dxa"/>
            <w:left w:w="108" w:type="dxa"/>
            <w:bottom w:w="0" w:type="dxa"/>
            <w:right w:w="108" w:type="dxa"/>
          </w:tblCellMar>
        </w:tblPrEx>
        <w:trPr>
          <w:trHeight w:val="288" w:hRule="atLeast"/>
          <w:jc w:val="center"/>
        </w:trPr>
        <w:tc>
          <w:tcPr>
            <w:tcW w:w="381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eastAsia" w:ascii="Times New Roman" w:hAnsi="Times New Roman" w:eastAsia="仿宋_GB2312" w:cs="Times New Roman"/>
                <w:color w:val="000000"/>
                <w:kern w:val="0"/>
                <w:szCs w:val="21"/>
                <w:lang w:val="en-US" w:eastAsia="zh-CN"/>
              </w:rPr>
              <w:t>合计</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1731.9972 </w:t>
            </w:r>
          </w:p>
        </w:tc>
        <w:tc>
          <w:tcPr>
            <w:tcW w:w="18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 xml:space="preserve">1300.4731 </w:t>
            </w: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color w:val="000000"/>
                <w:kern w:val="0"/>
                <w:szCs w:val="21"/>
                <w:lang w:val="en-US" w:eastAsia="zh-CN"/>
              </w:rPr>
            </w:pPr>
            <w:r>
              <w:rPr>
                <w:rFonts w:hint="default" w:ascii="Times New Roman" w:hAnsi="Times New Roman" w:eastAsia="仿宋_GB2312" w:cs="Times New Roman"/>
                <w:color w:val="000000"/>
                <w:kern w:val="0"/>
                <w:szCs w:val="21"/>
                <w:lang w:val="en-US" w:eastAsia="zh-CN"/>
              </w:rPr>
              <w:t>75.09%</w:t>
            </w:r>
          </w:p>
        </w:tc>
      </w:tr>
    </w:tbl>
    <w:p>
      <w:pPr>
        <w:widowControl/>
        <w:jc w:val="left"/>
        <w:rPr>
          <w:rFonts w:hint="eastAsia" w:ascii="黑体" w:hAnsi="宋体" w:eastAsia="黑体" w:cs="黑体"/>
          <w:color w:val="000000" w:themeColor="text1"/>
          <w:kern w:val="0"/>
          <w:sz w:val="32"/>
          <w:szCs w:val="32"/>
          <w:lang w:val="en-US" w:eastAsia="zh-CN" w:bidi="ar"/>
          <w14:textFill>
            <w14:solidFill>
              <w14:schemeClr w14:val="tx1"/>
            </w14:solidFill>
          </w14:textFill>
        </w:rPr>
      </w:pPr>
    </w:p>
    <w:p>
      <w:pPr>
        <w:widowControl/>
        <w:jc w:val="left"/>
        <w:rPr>
          <w:rFonts w:hint="eastAsia" w:ascii="黑体" w:hAnsi="宋体" w:eastAsia="黑体" w:cs="黑体"/>
          <w:color w:val="000000" w:themeColor="text1"/>
          <w:kern w:val="0"/>
          <w:sz w:val="32"/>
          <w:szCs w:val="32"/>
          <w:lang w:val="en-US" w:eastAsia="zh-CN" w:bidi="ar"/>
          <w14:textFill>
            <w14:solidFill>
              <w14:schemeClr w14:val="tx1"/>
            </w14:solidFill>
          </w14:textFill>
        </w:rPr>
      </w:pPr>
    </w:p>
    <w:p>
      <w:pPr>
        <w:widowControl/>
        <w:jc w:val="left"/>
        <w:rPr>
          <w:rFonts w:hint="eastAsia" w:ascii="黑体" w:hAnsi="宋体" w:eastAsia="黑体" w:cs="黑体"/>
          <w:color w:val="000000" w:themeColor="text1"/>
          <w:kern w:val="0"/>
          <w:sz w:val="32"/>
          <w:szCs w:val="32"/>
          <w:lang w:val="en-US" w:eastAsia="zh-CN" w:bidi="ar"/>
          <w14:textFill>
            <w14:solidFill>
              <w14:schemeClr w14:val="tx1"/>
            </w14:solidFill>
          </w14:textFill>
        </w:rPr>
      </w:pPr>
    </w:p>
    <w:p>
      <w:pPr>
        <w:widowControl/>
        <w:jc w:val="left"/>
        <w:rPr>
          <w:color w:val="000000" w:themeColor="text1"/>
          <w14:textFill>
            <w14:solidFill>
              <w14:schemeClr w14:val="tx1"/>
            </w14:solidFill>
          </w14:textFill>
        </w:rPr>
      </w:pPr>
      <w:r>
        <w:rPr>
          <w:rFonts w:hint="eastAsia" w:ascii="黑体" w:hAnsi="宋体" w:eastAsia="黑体" w:cs="黑体"/>
          <w:color w:val="000000" w:themeColor="text1"/>
          <w:kern w:val="0"/>
          <w:sz w:val="32"/>
          <w:szCs w:val="32"/>
          <w:lang w:val="en-US" w:eastAsia="zh-CN" w:bidi="ar"/>
          <w14:textFill>
            <w14:solidFill>
              <w14:schemeClr w14:val="tx1"/>
            </w14:solidFill>
          </w14:textFill>
        </w:rPr>
        <w:t>九</w:t>
      </w:r>
      <w:r>
        <w:rPr>
          <w:rFonts w:hint="eastAsia" w:ascii="黑体" w:hAnsi="宋体" w:eastAsia="黑体" w:cs="黑体"/>
          <w:color w:val="000000" w:themeColor="text1"/>
          <w:kern w:val="0"/>
          <w:sz w:val="32"/>
          <w:szCs w:val="32"/>
          <w:lang w:bidi="ar"/>
          <w14:textFill>
            <w14:solidFill>
              <w14:schemeClr w14:val="tx1"/>
            </w14:solidFill>
          </w14:textFill>
        </w:rPr>
        <w:t xml:space="preserve">、结论 </w:t>
      </w:r>
    </w:p>
    <w:p>
      <w:pPr>
        <w:widowControl/>
        <w:ind w:firstLine="560" w:firstLineChars="200"/>
        <w:rPr>
          <w:rFonts w:ascii="仿宋_GB2312" w:hAnsi="宋体" w:eastAsia="仿宋_GB2312" w:cs="宋体"/>
          <w:color w:val="000000" w:themeColor="text1"/>
          <w:kern w:val="0"/>
          <w:sz w:val="28"/>
          <w:szCs w:val="28"/>
          <w:lang w:bidi="ar"/>
          <w14:textFill>
            <w14:solidFill>
              <w14:schemeClr w14:val="tx1"/>
            </w14:solidFill>
          </w14:textFill>
        </w:rPr>
      </w:pPr>
      <w:r>
        <w:rPr>
          <w:rFonts w:hint="eastAsia" w:ascii="仿宋_GB2312" w:hAnsi="宋体" w:eastAsia="仿宋_GB2312" w:cs="宋体"/>
          <w:color w:val="000000" w:themeColor="text1"/>
          <w:kern w:val="0"/>
          <w:sz w:val="28"/>
          <w:szCs w:val="28"/>
          <w:lang w:bidi="ar"/>
          <w14:textFill>
            <w14:solidFill>
              <w14:schemeClr w14:val="tx1"/>
            </w14:solidFill>
          </w14:textFill>
        </w:rPr>
        <w:t>综上所述，《广州市增城区202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w:t>
      </w:r>
      <w:r>
        <w:rPr>
          <w:rFonts w:hint="eastAsia" w:ascii="仿宋_GB2312" w:hAnsi="宋体" w:eastAsia="仿宋_GB2312" w:cs="宋体"/>
          <w:color w:val="000000" w:themeColor="text1"/>
          <w:kern w:val="0"/>
          <w:sz w:val="28"/>
          <w:szCs w:val="28"/>
          <w:lang w:bidi="ar"/>
          <w14:textFill>
            <w14:solidFill>
              <w14:schemeClr w14:val="tx1"/>
            </w14:solidFill>
          </w14:textFill>
        </w:rPr>
        <w:t>年度土地征收成片开发方案》符合《中华人民共和国土地管理法》（2019年修订）、《广东省自然资源厅关于规范土地征收成片开发工作的通知》(</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粤</w:t>
      </w:r>
      <w:r>
        <w:rPr>
          <w:rFonts w:hint="eastAsia" w:ascii="仿宋_GB2312" w:hAnsi="宋体" w:eastAsia="仿宋_GB2312" w:cs="宋体"/>
          <w:color w:val="000000" w:themeColor="text1"/>
          <w:kern w:val="0"/>
          <w:sz w:val="28"/>
          <w:szCs w:val="28"/>
          <w:lang w:bidi="ar"/>
          <w14:textFill>
            <w14:solidFill>
              <w14:schemeClr w14:val="tx1"/>
            </w14:solidFill>
          </w14:textFill>
        </w:rPr>
        <w:t>自然资</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发</w:t>
      </w:r>
      <w:r>
        <w:rPr>
          <w:rFonts w:hint="eastAsia" w:ascii="仿宋_GB2312" w:hAnsi="宋体" w:eastAsia="仿宋_GB2312" w:cs="宋体"/>
          <w:color w:val="000000" w:themeColor="text1"/>
          <w:kern w:val="0"/>
          <w:sz w:val="28"/>
          <w:szCs w:val="28"/>
          <w:lang w:bidi="ar"/>
          <w14:textFill>
            <w14:solidFill>
              <w14:schemeClr w14:val="tx1"/>
            </w14:solidFill>
          </w14:textFill>
        </w:rPr>
        <w:t>〔202</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1</w:t>
      </w:r>
      <w:r>
        <w:rPr>
          <w:rFonts w:hint="eastAsia" w:ascii="仿宋_GB2312" w:hAnsi="宋体" w:eastAsia="仿宋_GB2312" w:cs="宋体"/>
          <w:color w:val="000000" w:themeColor="text1"/>
          <w:kern w:val="0"/>
          <w:sz w:val="28"/>
          <w:szCs w:val="28"/>
          <w:lang w:bidi="ar"/>
          <w14:textFill>
            <w14:solidFill>
              <w14:schemeClr w14:val="tx1"/>
            </w14:solidFill>
          </w14:textFill>
        </w:rPr>
        <w:t>〕</w:t>
      </w:r>
      <w:r>
        <w:rPr>
          <w:rFonts w:hint="eastAsia" w:ascii="仿宋_GB2312" w:hAnsi="宋体" w:eastAsia="仿宋_GB2312" w:cs="宋体"/>
          <w:color w:val="000000" w:themeColor="text1"/>
          <w:kern w:val="0"/>
          <w:sz w:val="28"/>
          <w:szCs w:val="28"/>
          <w:lang w:val="en-US" w:eastAsia="zh-CN" w:bidi="ar"/>
          <w14:textFill>
            <w14:solidFill>
              <w14:schemeClr w14:val="tx1"/>
            </w14:solidFill>
          </w14:textFill>
        </w:rPr>
        <w:t>20</w:t>
      </w:r>
      <w:r>
        <w:rPr>
          <w:rFonts w:hint="eastAsia" w:ascii="仿宋_GB2312" w:hAnsi="宋体" w:eastAsia="仿宋_GB2312" w:cs="宋体"/>
          <w:color w:val="000000" w:themeColor="text1"/>
          <w:kern w:val="0"/>
          <w:sz w:val="28"/>
          <w:szCs w:val="28"/>
          <w:lang w:bidi="ar"/>
          <w14:textFill>
            <w14:solidFill>
              <w14:schemeClr w14:val="tx1"/>
            </w14:solidFill>
          </w14:textFill>
        </w:rPr>
        <w:t>号)的要求。</w:t>
      </w:r>
    </w:p>
    <w:p>
      <w:pPr>
        <w:widowControl/>
        <w:jc w:val="left"/>
        <w:rPr>
          <w:rFonts w:ascii="楷体" w:hAnsi="楷体" w:eastAsia="楷体" w:cs="楷体"/>
          <w:color w:val="000000" w:themeColor="text1"/>
          <w:kern w:val="0"/>
          <w:sz w:val="24"/>
          <w:lang w:bidi="ar"/>
          <w14:textFill>
            <w14:solidFill>
              <w14:schemeClr w14:val="tx1"/>
            </w14:solidFill>
          </w14:textFill>
        </w:rPr>
      </w:pPr>
    </w:p>
    <w:p>
      <w:pPr>
        <w:widowControl/>
        <w:jc w:val="left"/>
        <w:rPr>
          <w:rFonts w:ascii="楷体" w:hAnsi="楷体" w:eastAsia="楷体" w:cs="楷体"/>
          <w:color w:val="000000" w:themeColor="text1"/>
          <w:kern w:val="0"/>
          <w:sz w:val="24"/>
          <w:lang w:bidi="ar"/>
          <w14:textFill>
            <w14:solidFill>
              <w14:schemeClr w14:val="tx1"/>
            </w14:solidFill>
          </w14:textFill>
        </w:rPr>
      </w:pPr>
    </w:p>
    <w:p>
      <w:pPr>
        <w:widowControl/>
        <w:jc w:val="left"/>
        <w:rPr>
          <w:rFonts w:ascii="楷体" w:hAnsi="楷体" w:eastAsia="楷体" w:cs="楷体"/>
          <w:color w:val="000000" w:themeColor="text1"/>
          <w:kern w:val="0"/>
          <w:sz w:val="24"/>
          <w:lang w:bidi="ar"/>
          <w14:textFill>
            <w14:solidFill>
              <w14:schemeClr w14:val="tx1"/>
            </w14:solidFill>
          </w14:textFill>
        </w:rPr>
        <w:sectPr>
          <w:pgSz w:w="11906" w:h="16838"/>
          <w:pgMar w:top="1440" w:right="1800" w:bottom="1440" w:left="1800" w:header="851" w:footer="992" w:gutter="0"/>
          <w:cols w:space="425" w:num="1"/>
          <w:docGrid w:type="lines" w:linePitch="312" w:charSpace="0"/>
        </w:sectPr>
      </w:pPr>
      <w:bookmarkStart w:id="0" w:name="_GoBack"/>
      <w:bookmarkEnd w:id="0"/>
    </w:p>
    <w:p>
      <w:pPr>
        <w:widowControl/>
        <w:jc w:val="left"/>
        <w:rPr>
          <w:rFonts w:hint="eastAsia" w:ascii="楷体" w:hAnsi="楷体" w:eastAsia="楷体" w:cs="楷体"/>
          <w:color w:val="000000" w:themeColor="text1"/>
          <w:kern w:val="0"/>
          <w:sz w:val="24"/>
          <w:lang w:eastAsia="zh-CN" w:bidi="ar"/>
          <w14:textFill>
            <w14:solidFill>
              <w14:schemeClr w14:val="tx1"/>
            </w14:solidFill>
          </w14:textFill>
        </w:rPr>
      </w:pPr>
      <w:r>
        <w:rPr>
          <w:rFonts w:hint="eastAsia" w:ascii="楷体" w:hAnsi="楷体" w:eastAsia="楷体" w:cs="楷体"/>
          <w:color w:val="000000" w:themeColor="text1"/>
          <w:kern w:val="0"/>
          <w:sz w:val="24"/>
          <w:lang w:eastAsia="zh-CN" w:bidi="ar"/>
          <w14:textFill>
            <w14:solidFill>
              <w14:schemeClr w14:val="tx1"/>
            </w14:solidFill>
          </w14:textFill>
        </w:rPr>
        <w:drawing>
          <wp:anchor distT="0" distB="0" distL="114300" distR="114300" simplePos="0" relativeHeight="251658240" behindDoc="0" locked="0" layoutInCell="1" allowOverlap="1">
            <wp:simplePos x="0" y="0"/>
            <wp:positionH relativeFrom="column">
              <wp:posOffset>0</wp:posOffset>
            </wp:positionH>
            <wp:positionV relativeFrom="paragraph">
              <wp:posOffset>95250</wp:posOffset>
            </wp:positionV>
            <wp:extent cx="7559040" cy="10692130"/>
            <wp:effectExtent l="0" t="0" r="3810" b="13970"/>
            <wp:wrapSquare wrapText="bothSides"/>
            <wp:docPr id="1" name="图片 1" descr="布局图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布局图1110"/>
                    <pic:cNvPicPr>
                      <a:picLocks noChangeAspect="1"/>
                    </pic:cNvPicPr>
                  </pic:nvPicPr>
                  <pic:blipFill>
                    <a:blip r:embed="rId4"/>
                    <a:stretch>
                      <a:fillRect/>
                    </a:stretch>
                  </pic:blipFill>
                  <pic:spPr>
                    <a:xfrm>
                      <a:off x="0" y="0"/>
                      <a:ext cx="7559040" cy="10692130"/>
                    </a:xfrm>
                    <a:prstGeom prst="rect">
                      <a:avLst/>
                    </a:prstGeom>
                  </pic:spPr>
                </pic:pic>
              </a:graphicData>
            </a:graphic>
          </wp:anchor>
        </w:drawing>
      </w:r>
    </w:p>
    <w:sectPr>
      <w:pgSz w:w="11906" w:h="16838"/>
      <w:pgMar w:top="0" w:right="0" w:bottom="0" w:left="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F6A73"/>
    <w:rsid w:val="00064A72"/>
    <w:rsid w:val="0008708C"/>
    <w:rsid w:val="000D2BAF"/>
    <w:rsid w:val="000F0236"/>
    <w:rsid w:val="000F2AA3"/>
    <w:rsid w:val="00113E4F"/>
    <w:rsid w:val="001D0441"/>
    <w:rsid w:val="00221335"/>
    <w:rsid w:val="002404CC"/>
    <w:rsid w:val="002707B4"/>
    <w:rsid w:val="002A1EB3"/>
    <w:rsid w:val="002C0EA8"/>
    <w:rsid w:val="002D3458"/>
    <w:rsid w:val="00302F32"/>
    <w:rsid w:val="0033509C"/>
    <w:rsid w:val="0034436E"/>
    <w:rsid w:val="003505A9"/>
    <w:rsid w:val="00364119"/>
    <w:rsid w:val="003E3139"/>
    <w:rsid w:val="004308AF"/>
    <w:rsid w:val="00510DB7"/>
    <w:rsid w:val="00521482"/>
    <w:rsid w:val="005407CA"/>
    <w:rsid w:val="005A3277"/>
    <w:rsid w:val="005C1F3D"/>
    <w:rsid w:val="006218BE"/>
    <w:rsid w:val="0063043F"/>
    <w:rsid w:val="006828C0"/>
    <w:rsid w:val="00697B9E"/>
    <w:rsid w:val="006C2C39"/>
    <w:rsid w:val="006E06BB"/>
    <w:rsid w:val="006F3C41"/>
    <w:rsid w:val="00701E3B"/>
    <w:rsid w:val="0076775E"/>
    <w:rsid w:val="00770646"/>
    <w:rsid w:val="007E0420"/>
    <w:rsid w:val="00865480"/>
    <w:rsid w:val="008B238F"/>
    <w:rsid w:val="009679F2"/>
    <w:rsid w:val="00975B6D"/>
    <w:rsid w:val="00991328"/>
    <w:rsid w:val="009B06D1"/>
    <w:rsid w:val="009E6424"/>
    <w:rsid w:val="00A9449B"/>
    <w:rsid w:val="00B723E0"/>
    <w:rsid w:val="00BA0903"/>
    <w:rsid w:val="00BA1606"/>
    <w:rsid w:val="00BC0FFD"/>
    <w:rsid w:val="00BE0C2B"/>
    <w:rsid w:val="00C10394"/>
    <w:rsid w:val="00C15A8F"/>
    <w:rsid w:val="00C237E7"/>
    <w:rsid w:val="00C873D3"/>
    <w:rsid w:val="00C938C5"/>
    <w:rsid w:val="00CC7543"/>
    <w:rsid w:val="00D51135"/>
    <w:rsid w:val="00D63A77"/>
    <w:rsid w:val="00D67ED4"/>
    <w:rsid w:val="00D94AA1"/>
    <w:rsid w:val="00DB2809"/>
    <w:rsid w:val="00E77F44"/>
    <w:rsid w:val="00E80293"/>
    <w:rsid w:val="00ED2CB6"/>
    <w:rsid w:val="00EE3324"/>
    <w:rsid w:val="00EE689B"/>
    <w:rsid w:val="00F149EB"/>
    <w:rsid w:val="00F93E07"/>
    <w:rsid w:val="00FD4B37"/>
    <w:rsid w:val="0D373DAC"/>
    <w:rsid w:val="0F1815CC"/>
    <w:rsid w:val="0F200AEB"/>
    <w:rsid w:val="10771491"/>
    <w:rsid w:val="11E518D8"/>
    <w:rsid w:val="12BB1F70"/>
    <w:rsid w:val="1AD25277"/>
    <w:rsid w:val="31B96649"/>
    <w:rsid w:val="32FF6A73"/>
    <w:rsid w:val="36495B51"/>
    <w:rsid w:val="3F064D5F"/>
    <w:rsid w:val="400A259E"/>
    <w:rsid w:val="5B3A19A0"/>
    <w:rsid w:val="5CD44D32"/>
    <w:rsid w:val="64C31CF8"/>
    <w:rsid w:val="6F272058"/>
    <w:rsid w:val="70F87F09"/>
    <w:rsid w:val="746A0247"/>
    <w:rsid w:val="7C124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unhideWhenUsed/>
    <w:qFormat/>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0"/>
    <w:rPr>
      <w:rFonts w:asciiTheme="minorHAnsi" w:hAnsiTheme="minorHAnsi" w:eastAsiaTheme="minorEastAsia" w:cstheme="minorBidi"/>
      <w:kern w:val="2"/>
      <w:sz w:val="18"/>
      <w:szCs w:val="18"/>
    </w:rPr>
  </w:style>
  <w:style w:type="character" w:customStyle="1" w:styleId="10">
    <w:name w:val="font01"/>
    <w:basedOn w:val="7"/>
    <w:qFormat/>
    <w:uiPriority w:val="0"/>
    <w:rPr>
      <w:rFonts w:hint="default" w:ascii="Arial" w:hAnsi="Arial" w:cs="Arial"/>
      <w:color w:val="000000"/>
      <w:sz w:val="20"/>
      <w:szCs w:val="20"/>
      <w:u w:val="none"/>
    </w:rPr>
  </w:style>
  <w:style w:type="character" w:customStyle="1" w:styleId="11">
    <w:name w:val="font11"/>
    <w:basedOn w:val="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524</Words>
  <Characters>2991</Characters>
  <Lines>24</Lines>
  <Paragraphs>7</Paragraphs>
  <TotalTime>5</TotalTime>
  <ScaleCrop>false</ScaleCrop>
  <LinksUpToDate>false</LinksUpToDate>
  <CharactersWithSpaces>3508</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2021-07-05T02:23:00Z</dcterms:created>
  <dc:creator>陈健胜</dc:creator>
  <cp:lastModifiedBy>Administrator</cp:lastModifiedBy>
  <dcterms:modified xsi:type="dcterms:W3CDTF">2021-11-11T03:02:39Z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3E2BBBD811CD4E4A98C74C45D191B1DB</vt:lpwstr>
  </property>
</Properties>
</file>