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70" w:lineRule="exact"/>
        <w:textAlignment w:val="auto"/>
        <w:rPr>
          <w:rStyle w:val="7"/>
          <w:rFonts w:hint="default"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sz w:val="32"/>
          <w:szCs w:val="32"/>
          <w:highlight w:val="none"/>
          <w:u w:val="none"/>
          <w:lang w:val="en-US" w:eastAsia="zh-CN"/>
        </w:rPr>
        <w:t>XZC0220220007</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r>
        <w:rPr>
          <w:rStyle w:val="7"/>
          <w:rFonts w:hint="eastAsia" w:ascii="仿宋_GB2312" w:hAnsi="仿宋_GB2312" w:eastAsia="仿宋_GB2312" w:cs="仿宋_GB2312"/>
          <w:sz w:val="32"/>
          <w:szCs w:val="32"/>
          <w:highlight w:val="none"/>
          <w:u w:val="none"/>
          <w:lang w:eastAsia="zh-CN"/>
        </w:rPr>
        <w:t>增府办规</w:t>
      </w:r>
      <w:r>
        <w:rPr>
          <w:rStyle w:val="7"/>
          <w:rFonts w:hint="eastAsia" w:ascii="仿宋_GB2312" w:hAnsi="仿宋_GB2312" w:eastAsia="仿宋_GB2312" w:cs="仿宋_GB2312"/>
          <w:sz w:val="32"/>
          <w:szCs w:val="32"/>
          <w:highlight w:val="none"/>
          <w:u w:val="none"/>
        </w:rPr>
        <w:t>〔202</w:t>
      </w:r>
      <w:r>
        <w:rPr>
          <w:rStyle w:val="7"/>
          <w:rFonts w:hint="eastAsia" w:ascii="仿宋_GB2312" w:hAnsi="仿宋_GB2312" w:eastAsia="仿宋_GB2312" w:cs="仿宋_GB2312"/>
          <w:sz w:val="32"/>
          <w:szCs w:val="32"/>
          <w:highlight w:val="none"/>
          <w:u w:val="none"/>
          <w:lang w:val="en-US" w:eastAsia="zh-CN"/>
        </w:rPr>
        <w:t>2</w:t>
      </w:r>
      <w:r>
        <w:rPr>
          <w:rStyle w:val="7"/>
          <w:rFonts w:hint="eastAsia" w:ascii="仿宋_GB2312" w:hAnsi="仿宋_GB2312" w:eastAsia="仿宋_GB2312" w:cs="仿宋_GB2312"/>
          <w:sz w:val="32"/>
          <w:szCs w:val="32"/>
          <w:highlight w:val="none"/>
          <w:u w:val="none"/>
        </w:rPr>
        <w:t>〕</w:t>
      </w:r>
      <w:r>
        <w:rPr>
          <w:rStyle w:val="7"/>
          <w:rFonts w:hint="eastAsia" w:ascii="仿宋_GB2312" w:hAnsi="仿宋_GB2312" w:eastAsia="仿宋_GB2312" w:cs="仿宋_GB2312"/>
          <w:sz w:val="32"/>
          <w:szCs w:val="32"/>
          <w:highlight w:val="none"/>
          <w:u w:val="none"/>
          <w:lang w:val="en-US" w:eastAsia="zh-CN"/>
        </w:rPr>
        <w:t xml:space="preserve">8 </w:t>
      </w:r>
      <w:r>
        <w:rPr>
          <w:rStyle w:val="7"/>
          <w:rFonts w:hint="eastAsia" w:ascii="仿宋_GB2312" w:hAnsi="仿宋_GB2312" w:eastAsia="仿宋_GB2312" w:cs="仿宋_GB2312"/>
          <w:sz w:val="32"/>
          <w:szCs w:val="32"/>
          <w:highlight w:val="none"/>
          <w:u w:val="none"/>
        </w:rPr>
        <w:t>号</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r>
        <w:rPr>
          <w:rFonts w:hint="eastAsia" w:ascii="方正小标宋简体" w:hAnsi="方正小标宋简体" w:eastAsia="方正小标宋简体" w:cs="方正小标宋简体"/>
          <w:sz w:val="44"/>
          <w:szCs w:val="44"/>
          <w:highlight w:val="none"/>
          <w:u w:val="none"/>
          <w:lang w:val="en-US" w:eastAsia="zh-CN"/>
        </w:rPr>
        <w:t>广州市增城区人民政府办公室关于印发</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eastAsia="zh-CN"/>
        </w:rPr>
      </w:pPr>
      <w:r>
        <w:rPr>
          <w:rFonts w:hint="eastAsia" w:ascii="方正小标宋简体" w:hAnsi="方正小标宋简体" w:eastAsia="方正小标宋简体" w:cs="方正小标宋简体"/>
          <w:sz w:val="44"/>
          <w:szCs w:val="44"/>
          <w:highlight w:val="none"/>
          <w:u w:val="none"/>
          <w:lang w:eastAsia="zh-CN"/>
        </w:rPr>
        <w:t>增城区推进存量工业用地高质量</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default" w:ascii="方正小标宋简体" w:hAnsi="方正小标宋简体" w:eastAsia="方正小标宋简体" w:cs="方正小标宋简体"/>
          <w:sz w:val="44"/>
          <w:szCs w:val="44"/>
          <w:highlight w:val="none"/>
          <w:u w:val="none"/>
          <w:lang w:val="en-US" w:eastAsia="zh-CN"/>
        </w:rPr>
      </w:pPr>
      <w:r>
        <w:rPr>
          <w:rFonts w:hint="eastAsia" w:ascii="方正小标宋简体" w:hAnsi="方正小标宋简体" w:eastAsia="方正小标宋简体" w:cs="方正小标宋简体"/>
          <w:sz w:val="44"/>
          <w:szCs w:val="44"/>
          <w:highlight w:val="none"/>
          <w:u w:val="none"/>
          <w:lang w:eastAsia="zh-CN"/>
        </w:rPr>
        <w:t>利用实施办法的通知</w:t>
      </w: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简体" w:hAnsi="方正小标宋简体" w:eastAsia="方正小标宋简体" w:cs="方正小标宋简体"/>
          <w:sz w:val="44"/>
          <w:szCs w:val="44"/>
          <w:highlight w:val="none"/>
          <w:u w:val="none"/>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Style w:val="7"/>
          <w:rFonts w:hint="eastAsia"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sz w:val="32"/>
          <w:szCs w:val="32"/>
          <w:highlight w:val="none"/>
          <w:u w:val="none"/>
          <w:lang w:val="en-US" w:eastAsia="zh-CN"/>
        </w:rPr>
        <w:t>各镇政府、街道办事处，区政府各有关部门，开发区各部门：</w:t>
      </w:r>
    </w:p>
    <w:p>
      <w:pPr>
        <w:pStyle w:val="2"/>
        <w:keepNext w:val="0"/>
        <w:keepLines w:val="0"/>
        <w:pageBreakBefore w:val="0"/>
        <w:widowControl w:val="0"/>
        <w:kinsoku/>
        <w:wordWrap/>
        <w:overflowPunct/>
        <w:topLinePunct w:val="0"/>
        <w:autoSpaceDE/>
        <w:autoSpaceDN/>
        <w:bidi w:val="0"/>
        <w:adjustRightInd/>
        <w:spacing w:line="570" w:lineRule="exact"/>
        <w:ind w:left="0" w:leftChars="0" w:firstLine="640" w:firstLineChars="200"/>
        <w:textAlignment w:val="auto"/>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lang w:val="en" w:eastAsia="zh-CN"/>
        </w:rPr>
        <w:t>《增城区推进存量工业用地高质量利用实施办法》已经区人民政府同意，现印发给你们，请认真贯彻执行。在执行过程中遇到的问题，请径向区科工商信局、市规划和自然资源局增城区分局反映。</w:t>
      </w:r>
    </w:p>
    <w:p>
      <w:pPr>
        <w:rPr>
          <w:rFonts w:hint="eastAsia" w:ascii="仿宋_GB2312" w:hAnsi="仿宋_GB2312" w:eastAsia="仿宋_GB2312" w:cs="仿宋_GB2312"/>
          <w:sz w:val="32"/>
          <w:szCs w:val="32"/>
          <w:lang w:val="en" w:eastAsia="zh-CN"/>
        </w:rPr>
      </w:pPr>
    </w:p>
    <w:p>
      <w:pPr>
        <w:pStyle w:val="2"/>
        <w:rPr>
          <w:rFonts w:hint="eastAsia" w:ascii="仿宋_GB2312" w:hAnsi="仿宋_GB2312" w:eastAsia="仿宋_GB2312" w:cs="仿宋_GB2312"/>
          <w:sz w:val="32"/>
          <w:szCs w:val="32"/>
          <w:lang w:val="en" w:eastAsia="zh-CN"/>
        </w:rPr>
      </w:pPr>
    </w:p>
    <w:p>
      <w:pPr>
        <w:jc w:val="center"/>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 w:eastAsia="zh-CN"/>
        </w:rPr>
        <w:t>广州市增城区人民政府办公室</w:t>
      </w:r>
    </w:p>
    <w:p>
      <w:pPr>
        <w:pStyle w:val="2"/>
        <w:jc w:val="center"/>
        <w:rPr>
          <w:rFonts w:hint="default"/>
          <w:lang w:val="en-US" w:eastAsia="zh-CN"/>
        </w:rPr>
      </w:pPr>
      <w:r>
        <w:rPr>
          <w:rFonts w:hint="eastAsia" w:ascii="仿宋_GB2312" w:hAnsi="仿宋_GB2312" w:eastAsia="仿宋_GB2312" w:cs="仿宋_GB2312"/>
          <w:sz w:val="32"/>
          <w:szCs w:val="32"/>
          <w:lang w:val="en-US" w:eastAsia="zh-CN"/>
        </w:rPr>
        <w:t xml:space="preserve">             2022年7月15日</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eastAsia="zh-CN"/>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eastAsia="zh-CN"/>
        </w:rPr>
      </w:pPr>
      <w:r>
        <w:rPr>
          <w:rFonts w:hint="eastAsia" w:ascii="方正小标宋简体" w:hAnsi="方正小标宋简体" w:eastAsia="方正小标宋简体" w:cs="方正小标宋简体"/>
          <w:sz w:val="44"/>
          <w:szCs w:val="44"/>
          <w:highlight w:val="none"/>
          <w:u w:val="none"/>
          <w:lang w:eastAsia="zh-CN"/>
        </w:rPr>
        <w:t>增城区推进存量工业用地</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highlight w:val="none"/>
          <w:u w:val="none"/>
          <w:lang w:eastAsia="zh-CN"/>
        </w:rPr>
      </w:pPr>
      <w:r>
        <w:rPr>
          <w:rFonts w:hint="eastAsia" w:ascii="方正小标宋简体" w:hAnsi="方正小标宋简体" w:eastAsia="方正小标宋简体" w:cs="方正小标宋简体"/>
          <w:sz w:val="44"/>
          <w:szCs w:val="44"/>
          <w:highlight w:val="none"/>
          <w:u w:val="none"/>
          <w:lang w:eastAsia="zh-CN"/>
        </w:rPr>
        <w:t>高质量利用实施办法</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黑体_GBK" w:hAnsi="方正黑体_GBK" w:eastAsia="方正黑体_GBK" w:cs="方正黑体_GBK"/>
          <w:sz w:val="32"/>
          <w:szCs w:val="32"/>
          <w:highlight w:val="none"/>
          <w:u w:val="none"/>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Style w:val="7"/>
          <w:rFonts w:hint="eastAsia"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sz w:val="32"/>
          <w:szCs w:val="32"/>
          <w:highlight w:val="none"/>
          <w:u w:val="none"/>
          <w:lang w:val="en-US" w:eastAsia="zh-CN"/>
        </w:rPr>
        <w:t>为贯彻落实广州市“坚持产业第一，制造业立市”的工作部署，加快国家级增城经济技术开发区、国家城乡融合发展试验区建设，推进存量工业用地集约节约利用，精准发力构建现代产业体系，提高经济发展效益，</w:t>
      </w:r>
      <w:r>
        <w:rPr>
          <w:rStyle w:val="7"/>
          <w:rFonts w:hint="eastAsia" w:ascii="仿宋_GB2312" w:hAnsi="仿宋_GB2312" w:eastAsia="仿宋_GB2312" w:cs="仿宋_GB2312"/>
          <w:sz w:val="32"/>
          <w:szCs w:val="32"/>
          <w:highlight w:val="none"/>
          <w:u w:val="none"/>
        </w:rPr>
        <w:t>根据《中华人民共和国土地管理法》</w:t>
      </w:r>
      <w:r>
        <w:rPr>
          <w:rStyle w:val="7"/>
          <w:rFonts w:hint="eastAsia" w:ascii="仿宋_GB2312" w:hAnsi="仿宋_GB2312" w:eastAsia="仿宋_GB2312" w:cs="仿宋_GB2312"/>
          <w:sz w:val="32"/>
          <w:szCs w:val="32"/>
          <w:highlight w:val="none"/>
          <w:u w:val="none"/>
          <w:lang w:val="en-US" w:eastAsia="zh-CN"/>
        </w:rPr>
        <w:t>《节约集约利用土地规定》(国土资源部令第61</w:t>
      </w:r>
      <w:r>
        <w:rPr>
          <w:rStyle w:val="7"/>
          <w:rFonts w:hint="default" w:ascii="仿宋_GB2312" w:hAnsi="仿宋_GB2312" w:eastAsia="仿宋_GB2312" w:cs="仿宋_GB2312"/>
          <w:sz w:val="32"/>
          <w:szCs w:val="32"/>
          <w:highlight w:val="none"/>
          <w:u w:val="none"/>
          <w:lang w:val="en-US" w:eastAsia="zh-CN"/>
        </w:rPr>
        <w:t>号</w:t>
      </w:r>
      <w:r>
        <w:rPr>
          <w:rStyle w:val="7"/>
          <w:rFonts w:hint="eastAsia" w:ascii="仿宋_GB2312" w:hAnsi="仿宋_GB2312" w:eastAsia="仿宋_GB2312" w:cs="仿宋_GB2312"/>
          <w:sz w:val="32"/>
          <w:szCs w:val="32"/>
          <w:highlight w:val="none"/>
          <w:u w:val="none"/>
          <w:lang w:val="en-US" w:eastAsia="zh-CN"/>
        </w:rPr>
        <w:t>)、《广州市提高工业用地利用效率实施办法》（穗府办规〔2022〕5号）、《广州市工业产业</w:t>
      </w:r>
      <w:r>
        <w:rPr>
          <w:rStyle w:val="7"/>
          <w:rFonts w:hint="eastAsia" w:ascii="仿宋_GB2312" w:hAnsi="仿宋_GB2312" w:eastAsia="仿宋_GB2312" w:cs="仿宋_GB2312"/>
          <w:sz w:val="32"/>
          <w:szCs w:val="32"/>
          <w:highlight w:val="none"/>
          <w:u w:val="none"/>
        </w:rPr>
        <w:t>区块管理办法》</w:t>
      </w:r>
      <w:r>
        <w:rPr>
          <w:rStyle w:val="7"/>
          <w:rFonts w:hint="eastAsia" w:ascii="仿宋_GB2312" w:hAnsi="仿宋_GB2312" w:eastAsia="仿宋_GB2312" w:cs="仿宋_GB2312"/>
          <w:sz w:val="32"/>
          <w:szCs w:val="32"/>
          <w:highlight w:val="none"/>
          <w:u w:val="none"/>
          <w:lang w:eastAsia="zh-CN"/>
        </w:rPr>
        <w:t>（</w:t>
      </w:r>
      <w:r>
        <w:rPr>
          <w:rStyle w:val="7"/>
          <w:rFonts w:hint="eastAsia" w:ascii="仿宋_GB2312" w:hAnsi="仿宋_GB2312" w:eastAsia="仿宋_GB2312" w:cs="仿宋_GB2312"/>
          <w:sz w:val="32"/>
          <w:szCs w:val="32"/>
          <w:highlight w:val="none"/>
          <w:u w:val="none"/>
        </w:rPr>
        <w:t>穗工信规字〔2020〕8号</w:t>
      </w:r>
      <w:r>
        <w:rPr>
          <w:rStyle w:val="7"/>
          <w:rFonts w:hint="eastAsia" w:ascii="仿宋_GB2312" w:hAnsi="仿宋_GB2312" w:eastAsia="仿宋_GB2312" w:cs="仿宋_GB2312"/>
          <w:sz w:val="32"/>
          <w:szCs w:val="32"/>
          <w:highlight w:val="none"/>
          <w:u w:val="none"/>
          <w:lang w:eastAsia="zh-CN"/>
        </w:rPr>
        <w:t>）、</w:t>
      </w:r>
      <w:r>
        <w:rPr>
          <w:rStyle w:val="7"/>
          <w:rFonts w:hint="eastAsia" w:ascii="仿宋_GB2312" w:hAnsi="仿宋_GB2312" w:eastAsia="仿宋_GB2312" w:cs="仿宋_GB2312"/>
          <w:sz w:val="32"/>
          <w:szCs w:val="32"/>
          <w:highlight w:val="none"/>
          <w:u w:val="none"/>
        </w:rPr>
        <w:t>《广州市工业用地产业监管工作指引》</w:t>
      </w:r>
      <w:r>
        <w:rPr>
          <w:rStyle w:val="7"/>
          <w:rFonts w:hint="default" w:ascii="仿宋_GB2312" w:hAnsi="仿宋_GB2312" w:eastAsia="仿宋_GB2312" w:cs="仿宋_GB2312"/>
          <w:sz w:val="32"/>
          <w:szCs w:val="32"/>
          <w:highlight w:val="none"/>
          <w:u w:val="none"/>
          <w:lang w:eastAsia="zh-CN"/>
        </w:rPr>
        <w:t>（</w:t>
      </w:r>
      <w:r>
        <w:rPr>
          <w:rStyle w:val="7"/>
          <w:rFonts w:hint="eastAsia" w:ascii="仿宋_GB2312" w:hAnsi="仿宋_GB2312" w:eastAsia="仿宋_GB2312" w:cs="仿宋_GB2312"/>
          <w:sz w:val="32"/>
          <w:szCs w:val="32"/>
          <w:highlight w:val="none"/>
          <w:u w:val="none"/>
        </w:rPr>
        <w:t>穗工信规字〔2021〕1号</w:t>
      </w:r>
      <w:r>
        <w:rPr>
          <w:rStyle w:val="7"/>
          <w:rFonts w:hint="default" w:ascii="仿宋_GB2312" w:hAnsi="仿宋_GB2312" w:eastAsia="仿宋_GB2312" w:cs="仿宋_GB2312"/>
          <w:sz w:val="32"/>
          <w:szCs w:val="32"/>
          <w:highlight w:val="none"/>
          <w:u w:val="none"/>
          <w:lang w:eastAsia="zh-CN"/>
        </w:rPr>
        <w:t>）</w:t>
      </w:r>
      <w:r>
        <w:rPr>
          <w:rStyle w:val="7"/>
          <w:rFonts w:hint="eastAsia" w:ascii="仿宋_GB2312" w:hAnsi="仿宋_GB2312" w:eastAsia="仿宋_GB2312" w:cs="仿宋_GB2312"/>
          <w:sz w:val="32"/>
          <w:szCs w:val="32"/>
          <w:highlight w:val="none"/>
          <w:u w:val="none"/>
          <w:lang w:val="en-US" w:eastAsia="zh-CN"/>
        </w:rPr>
        <w:t>、《广州市产业用地指南（2018年版）》</w:t>
      </w:r>
      <w:r>
        <w:rPr>
          <w:rStyle w:val="7"/>
          <w:rFonts w:hint="eastAsia" w:ascii="仿宋_GB2312" w:hAnsi="仿宋_GB2312" w:eastAsia="仿宋_GB2312" w:cs="仿宋_GB2312"/>
          <w:sz w:val="32"/>
          <w:szCs w:val="32"/>
          <w:highlight w:val="none"/>
          <w:u w:val="none"/>
        </w:rPr>
        <w:t>等法律法规和文件精神，结合我区实际，制定本</w:t>
      </w:r>
      <w:r>
        <w:rPr>
          <w:rStyle w:val="7"/>
          <w:rFonts w:hint="eastAsia" w:ascii="仿宋_GB2312" w:hAnsi="仿宋_GB2312" w:eastAsia="仿宋_GB2312" w:cs="仿宋_GB2312"/>
          <w:sz w:val="32"/>
          <w:szCs w:val="32"/>
          <w:highlight w:val="none"/>
          <w:u w:val="none"/>
          <w:lang w:eastAsia="zh-CN"/>
        </w:rPr>
        <w:t>办法</w:t>
      </w:r>
      <w:r>
        <w:rPr>
          <w:rStyle w:val="7"/>
          <w:rFonts w:hint="eastAsia" w:ascii="仿宋_GB2312" w:hAnsi="仿宋_GB2312" w:eastAsia="仿宋_GB2312" w:cs="仿宋_GB2312"/>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Fonts w:hint="eastAsia" w:ascii="黑体" w:hAnsi="黑体" w:eastAsia="黑体" w:cs="黑体"/>
          <w:sz w:val="32"/>
          <w:szCs w:val="32"/>
          <w:highlight w:val="none"/>
          <w:u w:val="none"/>
          <w:lang w:val="en" w:eastAsia="zh-CN"/>
        </w:rPr>
      </w:pPr>
      <w:r>
        <w:rPr>
          <w:rFonts w:hint="eastAsia" w:ascii="黑体" w:hAnsi="黑体" w:eastAsia="黑体" w:cs="黑体"/>
          <w:sz w:val="32"/>
          <w:szCs w:val="32"/>
          <w:highlight w:val="none"/>
          <w:u w:val="none"/>
          <w:lang w:val="en" w:eastAsia="zh-CN"/>
        </w:rPr>
        <w:t>一、总体要求</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Fonts w:hint="eastAsia" w:ascii="楷体" w:hAnsi="楷体" w:eastAsia="楷体" w:cs="楷体"/>
          <w:b w:val="0"/>
          <w:bCs w:val="0"/>
          <w:kern w:val="2"/>
          <w:sz w:val="32"/>
          <w:szCs w:val="32"/>
          <w:highlight w:val="none"/>
          <w:u w:val="none"/>
          <w:lang w:val="en" w:eastAsia="zh-CN" w:bidi="ar-SA"/>
        </w:rPr>
      </w:pPr>
      <w:r>
        <w:rPr>
          <w:rFonts w:hint="eastAsia" w:ascii="楷体" w:hAnsi="楷体" w:eastAsia="楷体" w:cs="楷体"/>
          <w:b w:val="0"/>
          <w:bCs w:val="0"/>
          <w:kern w:val="2"/>
          <w:sz w:val="32"/>
          <w:szCs w:val="32"/>
          <w:highlight w:val="none"/>
          <w:u w:val="none"/>
          <w:lang w:val="en" w:eastAsia="zh-CN" w:bidi="ar-SA"/>
        </w:rPr>
        <w:t>（一）指导思想</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Style w:val="7"/>
          <w:rFonts w:hint="eastAsia"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sz w:val="32"/>
          <w:szCs w:val="32"/>
          <w:highlight w:val="none"/>
          <w:u w:val="none"/>
          <w:lang w:val="en-US" w:eastAsia="zh-CN"/>
        </w:rPr>
        <w:t>以习近平新时代中国特色社会主义思想为指导，全面深入贯彻落实新发展理念，以深化供给侧结构性改革为主线，树立效益优先理念，不断优化存量工业用地管理，大力推进存量工业用地按照更集约、更高效利用的原则，开展厂房加层、厂区改造、内部土地整理、开发建设地下空间等（本办法统称为“工改工”），实现存量工业用地得到充分开发、土地承载能力得到充分发挥、企业发展活力得到充分释放，促进产业结构优化，推动经济高质量发展。</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Fonts w:hint="eastAsia" w:ascii="楷体" w:hAnsi="楷体" w:eastAsia="楷体" w:cs="楷体"/>
          <w:b w:val="0"/>
          <w:bCs w:val="0"/>
          <w:kern w:val="2"/>
          <w:sz w:val="32"/>
          <w:szCs w:val="32"/>
          <w:highlight w:val="none"/>
          <w:u w:val="none"/>
          <w:lang w:val="en" w:eastAsia="zh-CN" w:bidi="ar-SA"/>
        </w:rPr>
      </w:pPr>
      <w:r>
        <w:rPr>
          <w:rFonts w:hint="eastAsia" w:ascii="楷体" w:hAnsi="楷体" w:eastAsia="楷体" w:cs="楷体"/>
          <w:b w:val="0"/>
          <w:bCs w:val="0"/>
          <w:kern w:val="2"/>
          <w:sz w:val="32"/>
          <w:szCs w:val="32"/>
          <w:highlight w:val="none"/>
          <w:u w:val="none"/>
          <w:lang w:val="en" w:eastAsia="zh-CN" w:bidi="ar-SA"/>
        </w:rPr>
        <w:t>（二）基本原则</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1.政府主导，稳定预期。</w:t>
      </w:r>
      <w:r>
        <w:rPr>
          <w:rStyle w:val="7"/>
          <w:rFonts w:hint="eastAsia" w:ascii="仿宋_GB2312" w:hAnsi="仿宋_GB2312" w:eastAsia="仿宋_GB2312" w:cs="仿宋_GB2312"/>
          <w:sz w:val="32"/>
          <w:szCs w:val="32"/>
          <w:highlight w:val="none"/>
          <w:u w:val="none"/>
          <w:lang w:val="en-US" w:eastAsia="zh-CN"/>
        </w:rPr>
        <w:t>政府在推进存量工业用地高质量利用方面发挥主导作用，以工业用地发展规划为指引，明确存量工业用地以“工改工”为方向；严守工业产业区块底线，加强工业用地管控，位于工业产业区块范围内的存量工业用地应严格按照工业用途规划实施建设，除公共利益需要外，禁止调整为其他用途，尤其不得调整为居住、商业等经营性用途，</w:t>
      </w:r>
      <w:r>
        <w:rPr>
          <w:rStyle w:val="7"/>
          <w:rFonts w:hint="eastAsia" w:ascii="仿宋_GB2312" w:hAnsi="仿宋_GB2312" w:eastAsia="仿宋_GB2312" w:cs="仿宋_GB2312"/>
          <w:sz w:val="32"/>
          <w:szCs w:val="32"/>
          <w:highlight w:val="none"/>
          <w:u w:val="none"/>
          <w:lang w:eastAsia="zh-CN"/>
        </w:rPr>
        <w:t>稳定市场各方对存量工业用地的开发预期</w:t>
      </w:r>
      <w:r>
        <w:rPr>
          <w:rStyle w:val="7"/>
          <w:rFonts w:hint="eastAsia" w:ascii="仿宋_GB2312" w:hAnsi="仿宋_GB2312" w:eastAsia="仿宋_GB2312" w:cs="仿宋_GB2312"/>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sz w:val="32"/>
          <w:szCs w:val="32"/>
          <w:highlight w:val="none"/>
          <w:u w:val="none"/>
          <w:lang w:val="en" w:eastAsia="zh-CN"/>
        </w:rPr>
      </w:pPr>
      <w:r>
        <w:rPr>
          <w:rStyle w:val="7"/>
          <w:rFonts w:hint="eastAsia" w:ascii="仿宋_GB2312" w:hAnsi="仿宋_GB2312" w:eastAsia="仿宋_GB2312" w:cs="仿宋_GB2312"/>
          <w:b/>
          <w:bCs/>
          <w:sz w:val="32"/>
          <w:szCs w:val="32"/>
          <w:highlight w:val="none"/>
          <w:u w:val="none"/>
          <w:lang w:val="en-US" w:eastAsia="zh-CN"/>
        </w:rPr>
        <w:t>2.</w:t>
      </w:r>
      <w:r>
        <w:rPr>
          <w:rStyle w:val="7"/>
          <w:rFonts w:hint="eastAsia" w:ascii="仿宋_GB2312" w:hAnsi="仿宋_GB2312" w:eastAsia="仿宋_GB2312" w:cs="仿宋_GB2312"/>
          <w:b/>
          <w:bCs/>
          <w:sz w:val="32"/>
          <w:szCs w:val="32"/>
          <w:highlight w:val="none"/>
          <w:u w:val="none"/>
          <w:lang w:val="en" w:eastAsia="zh-CN"/>
        </w:rPr>
        <w:t>有效管理</w:t>
      </w:r>
      <w:r>
        <w:rPr>
          <w:rStyle w:val="7"/>
          <w:rFonts w:hint="eastAsia" w:ascii="仿宋_GB2312" w:hAnsi="仿宋_GB2312" w:eastAsia="仿宋_GB2312" w:cs="仿宋_GB2312"/>
          <w:b/>
          <w:bCs/>
          <w:sz w:val="32"/>
          <w:szCs w:val="32"/>
          <w:highlight w:val="none"/>
          <w:u w:val="none"/>
          <w:lang w:val="en-US" w:eastAsia="zh-CN"/>
        </w:rPr>
        <w:t>，</w:t>
      </w:r>
      <w:r>
        <w:rPr>
          <w:rStyle w:val="7"/>
          <w:rFonts w:hint="eastAsia" w:ascii="仿宋_GB2312" w:hAnsi="仿宋_GB2312" w:eastAsia="仿宋_GB2312" w:cs="仿宋_GB2312"/>
          <w:b/>
          <w:bCs/>
          <w:sz w:val="32"/>
          <w:szCs w:val="32"/>
          <w:highlight w:val="none"/>
          <w:u w:val="none"/>
          <w:lang w:val="en" w:eastAsia="zh-CN"/>
        </w:rPr>
        <w:t>分类施策</w:t>
      </w:r>
      <w:r>
        <w:rPr>
          <w:rStyle w:val="7"/>
          <w:rFonts w:hint="eastAsia" w:ascii="仿宋_GB2312" w:hAnsi="仿宋_GB2312" w:eastAsia="仿宋_GB2312" w:cs="仿宋_GB2312"/>
          <w:b/>
          <w:bCs/>
          <w:sz w:val="32"/>
          <w:szCs w:val="32"/>
          <w:highlight w:val="none"/>
          <w:u w:val="none"/>
          <w:lang w:val="en-US" w:eastAsia="zh-CN"/>
        </w:rPr>
        <w:t>。</w:t>
      </w:r>
      <w:r>
        <w:rPr>
          <w:rStyle w:val="7"/>
          <w:rFonts w:hint="eastAsia" w:ascii="仿宋_GB2312" w:hAnsi="仿宋_GB2312" w:eastAsia="仿宋_GB2312" w:cs="仿宋_GB2312"/>
          <w:sz w:val="32"/>
          <w:szCs w:val="32"/>
          <w:highlight w:val="none"/>
          <w:u w:val="none"/>
          <w:lang w:val="en" w:eastAsia="zh-CN"/>
        </w:rPr>
        <w:t>健全存量工业用地管理模式，</w:t>
      </w:r>
      <w:r>
        <w:rPr>
          <w:rStyle w:val="7"/>
          <w:rFonts w:hint="eastAsia" w:ascii="仿宋_GB2312" w:hAnsi="仿宋_GB2312" w:eastAsia="仿宋_GB2312" w:cs="仿宋_GB2312"/>
          <w:sz w:val="32"/>
          <w:szCs w:val="32"/>
          <w:highlight w:val="none"/>
          <w:u w:val="none"/>
          <w:lang w:val="en-US" w:eastAsia="zh-CN"/>
        </w:rPr>
        <w:t>加强存量工业用地的信息管理，开展存量工业用地产出效益评估，坚持利益激励与倒逼促改相结合，重点推动低效工业用地改造升级</w:t>
      </w:r>
      <w:r>
        <w:rPr>
          <w:rStyle w:val="7"/>
          <w:rFonts w:hint="eastAsia" w:ascii="仿宋_GB2312" w:hAnsi="仿宋_GB2312" w:eastAsia="仿宋_GB2312" w:cs="仿宋_GB2312"/>
          <w:sz w:val="32"/>
          <w:szCs w:val="32"/>
          <w:highlight w:val="none"/>
          <w:u w:val="none"/>
          <w:lang w:eastAsia="zh-CN"/>
        </w:rPr>
        <w:t>、村镇工业集聚区提质增效，充</w:t>
      </w:r>
      <w:r>
        <w:rPr>
          <w:rStyle w:val="7"/>
          <w:rFonts w:hint="eastAsia" w:ascii="仿宋_GB2312" w:hAnsi="仿宋_GB2312" w:eastAsia="仿宋_GB2312" w:cs="仿宋_GB2312"/>
          <w:sz w:val="32"/>
          <w:szCs w:val="32"/>
          <w:highlight w:val="none"/>
          <w:u w:val="none"/>
          <w:lang w:val="en-US" w:eastAsia="zh-CN"/>
        </w:rPr>
        <w:t>分运用市场机制，鼓励土地权利人和相关市场主体积极参与，实现多方共赢。</w:t>
      </w:r>
      <w:r>
        <w:rPr>
          <w:rStyle w:val="7"/>
          <w:rFonts w:hint="eastAsia" w:ascii="仿宋_GB2312" w:hAnsi="仿宋_GB2312" w:eastAsia="仿宋_GB2312" w:cs="仿宋_GB2312"/>
          <w:sz w:val="32"/>
          <w:szCs w:val="32"/>
          <w:highlight w:val="none"/>
          <w:u w:val="none"/>
          <w:lang w:val="en" w:eastAsia="zh-CN"/>
        </w:rPr>
        <w:t>明确存量工业用地“工改工”项目产出监管要求，实施分类监管，加强监管评估工作，确保存量工业用地高质量再利用。</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eastAsia" w:ascii="仿宋_GB2312" w:hAnsi="仿宋_GB2312" w:eastAsia="仿宋_GB2312" w:cs="仿宋_GB2312"/>
          <w:sz w:val="32"/>
          <w:szCs w:val="32"/>
          <w:highlight w:val="none"/>
          <w:u w:val="none"/>
          <w:lang w:val="en" w:eastAsia="zh-CN"/>
        </w:rPr>
      </w:pPr>
      <w:r>
        <w:rPr>
          <w:rStyle w:val="7"/>
          <w:rFonts w:hint="eastAsia" w:ascii="仿宋_GB2312" w:hAnsi="仿宋_GB2312" w:eastAsia="仿宋_GB2312" w:cs="仿宋_GB2312"/>
          <w:b/>
          <w:bCs/>
          <w:sz w:val="32"/>
          <w:szCs w:val="32"/>
          <w:highlight w:val="none"/>
          <w:u w:val="none"/>
          <w:lang w:val="en-US" w:eastAsia="zh-CN"/>
        </w:rPr>
        <w:t>3.</w:t>
      </w:r>
      <w:r>
        <w:rPr>
          <w:rStyle w:val="7"/>
          <w:rFonts w:hint="eastAsia" w:ascii="仿宋_GB2312" w:hAnsi="仿宋_GB2312" w:eastAsia="仿宋_GB2312" w:cs="仿宋_GB2312"/>
          <w:b/>
          <w:bCs/>
          <w:sz w:val="32"/>
          <w:szCs w:val="32"/>
          <w:highlight w:val="none"/>
          <w:u w:val="none"/>
          <w:lang w:val="en" w:eastAsia="zh-CN"/>
        </w:rPr>
        <w:t>职责清晰，任务明确。</w:t>
      </w:r>
      <w:r>
        <w:rPr>
          <w:rStyle w:val="7"/>
          <w:rFonts w:hint="eastAsia" w:ascii="仿宋_GB2312" w:hAnsi="仿宋_GB2312" w:eastAsia="仿宋_GB2312" w:cs="仿宋_GB2312"/>
          <w:sz w:val="32"/>
          <w:szCs w:val="32"/>
          <w:highlight w:val="none"/>
          <w:u w:val="none"/>
          <w:lang w:val="en" w:eastAsia="zh-CN"/>
        </w:rPr>
        <w:t>明确各相关职能部门和镇街的职责分工，设定主要职能部门和镇街的任务目标，建立部门、镇街协同的工作机制，凝聚工作合力，确保工作稳步有序开展；加强统筹协调，加强工作调度，纳入目标任务考核范围，确保用地盘活工作取得实效。</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Fonts w:hint="eastAsia" w:ascii="楷体" w:hAnsi="楷体" w:eastAsia="楷体" w:cs="楷体"/>
          <w:b w:val="0"/>
          <w:bCs w:val="0"/>
          <w:kern w:val="2"/>
          <w:sz w:val="32"/>
          <w:szCs w:val="32"/>
          <w:highlight w:val="none"/>
          <w:u w:val="none"/>
          <w:lang w:val="en" w:eastAsia="zh-CN" w:bidi="ar-SA"/>
        </w:rPr>
      </w:pPr>
      <w:r>
        <w:rPr>
          <w:rFonts w:hint="eastAsia" w:ascii="楷体" w:hAnsi="楷体" w:eastAsia="楷体" w:cs="楷体"/>
          <w:b w:val="0"/>
          <w:bCs w:val="0"/>
          <w:kern w:val="2"/>
          <w:sz w:val="32"/>
          <w:szCs w:val="32"/>
          <w:highlight w:val="none"/>
          <w:u w:val="none"/>
          <w:lang w:val="en" w:eastAsia="zh-CN" w:bidi="ar-SA"/>
        </w:rPr>
        <w:t>（三）工作目标</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eastAsia"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1.推动存量工业用地“工改工”提质增效。</w:t>
      </w:r>
      <w:r>
        <w:rPr>
          <w:rStyle w:val="7"/>
          <w:rFonts w:hint="eastAsia" w:ascii="仿宋_GB2312" w:hAnsi="仿宋_GB2312" w:eastAsia="仿宋_GB2312" w:cs="仿宋_GB2312"/>
          <w:kern w:val="2"/>
          <w:sz w:val="32"/>
          <w:szCs w:val="32"/>
          <w:highlight w:val="none"/>
          <w:u w:val="none"/>
          <w:lang w:val="en-US" w:eastAsia="zh-CN" w:bidi="ar-SA"/>
        </w:rPr>
        <w:t>2</w:t>
      </w:r>
      <w:r>
        <w:rPr>
          <w:rStyle w:val="7"/>
          <w:rFonts w:hint="eastAsia" w:ascii="仿宋_GB2312" w:hAnsi="仿宋_GB2312" w:eastAsia="仿宋_GB2312" w:cs="仿宋_GB2312"/>
          <w:sz w:val="32"/>
          <w:szCs w:val="32"/>
          <w:highlight w:val="none"/>
          <w:u w:val="none"/>
          <w:lang w:val="en-US" w:eastAsia="zh-CN"/>
        </w:rPr>
        <w:t>022年推动1000亩存量工业用地实施“工改工”项目；2023-2025年合计推动5000亩存量工业用地实施“工改工”项目。期间总结“工改工”试点项目经验做法，固化形成增城“工改工”模式并复制推广。</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eastAsia" w:ascii="仿宋_GB2312" w:hAnsi="仿宋_GB2312" w:eastAsia="仿宋_GB2312" w:cs="仿宋_GB2312"/>
          <w:sz w:val="32"/>
          <w:szCs w:val="32"/>
          <w:highlight w:val="none"/>
          <w:u w:val="none"/>
          <w:lang w:val="en" w:eastAsia="zh-CN"/>
        </w:rPr>
      </w:pPr>
      <w:r>
        <w:rPr>
          <w:rStyle w:val="7"/>
          <w:rFonts w:hint="eastAsia" w:ascii="仿宋_GB2312" w:hAnsi="仿宋_GB2312" w:eastAsia="仿宋_GB2312" w:cs="仿宋_GB2312"/>
          <w:b/>
          <w:bCs/>
          <w:sz w:val="32"/>
          <w:szCs w:val="32"/>
          <w:highlight w:val="none"/>
          <w:u w:val="none"/>
          <w:lang w:val="en-US" w:eastAsia="zh-CN"/>
        </w:rPr>
        <w:t>2.推动中小企业向工业产业区块内集聚。</w:t>
      </w:r>
      <w:r>
        <w:rPr>
          <w:rStyle w:val="7"/>
          <w:rFonts w:hint="eastAsia" w:ascii="仿宋_GB2312" w:hAnsi="仿宋_GB2312" w:eastAsia="仿宋_GB2312" w:cs="仿宋_GB2312"/>
          <w:sz w:val="32"/>
          <w:szCs w:val="32"/>
          <w:highlight w:val="none"/>
          <w:u w:val="none"/>
          <w:lang w:val="en-US" w:eastAsia="zh-CN"/>
        </w:rPr>
        <w:t>通过“工改工”释放土地承载空间，引进和推动工业产业区块外的制造业企业向工业产业区块内集聚，到2023年形成5个产业特色鲜明的中小企业集聚发展区，2024-2025年再新增5个产业特色鲜明的中小企业集聚发展区。通过推动中小企业集聚发展，促进产业空间布局优化、产业结构调整升级。</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kern w:val="2"/>
          <w:sz w:val="32"/>
          <w:szCs w:val="32"/>
          <w:highlight w:val="none"/>
          <w:u w:val="none"/>
          <w:lang w:val="en-US" w:eastAsia="zh-CN" w:bidi="ar-SA"/>
        </w:rPr>
      </w:pPr>
      <w:r>
        <w:rPr>
          <w:rStyle w:val="7"/>
          <w:rFonts w:hint="eastAsia" w:ascii="仿宋_GB2312" w:hAnsi="仿宋_GB2312" w:eastAsia="仿宋_GB2312" w:cs="仿宋_GB2312"/>
          <w:b/>
          <w:bCs/>
          <w:sz w:val="32"/>
          <w:szCs w:val="32"/>
          <w:highlight w:val="none"/>
          <w:u w:val="none"/>
          <w:lang w:val="en-US" w:eastAsia="zh-CN"/>
        </w:rPr>
        <w:t>3.建立</w:t>
      </w:r>
      <w:r>
        <w:rPr>
          <w:rStyle w:val="7"/>
          <w:rFonts w:hint="eastAsia" w:ascii="仿宋_GB2312" w:hAnsi="仿宋_GB2312" w:eastAsia="仿宋_GB2312" w:cs="仿宋_GB2312"/>
          <w:b/>
          <w:bCs/>
          <w:sz w:val="32"/>
          <w:szCs w:val="32"/>
          <w:highlight w:val="none"/>
          <w:u w:val="none"/>
          <w:lang w:val="en" w:eastAsia="zh-CN"/>
        </w:rPr>
        <w:t>存量工业用地综合管理体系。</w:t>
      </w:r>
      <w:r>
        <w:rPr>
          <w:rStyle w:val="7"/>
          <w:rFonts w:hint="eastAsia" w:ascii="仿宋_GB2312" w:hAnsi="仿宋_GB2312" w:eastAsia="仿宋_GB2312" w:cs="仿宋_GB2312"/>
          <w:kern w:val="2"/>
          <w:sz w:val="32"/>
          <w:szCs w:val="32"/>
          <w:highlight w:val="none"/>
          <w:u w:val="none"/>
          <w:lang w:val="en" w:eastAsia="zh-CN" w:bidi="ar-SA"/>
        </w:rPr>
        <w:t>建立责任主体清晰、评价指标合理的存量工业用地综合管理体系，</w:t>
      </w:r>
      <w:r>
        <w:rPr>
          <w:rStyle w:val="7"/>
          <w:rFonts w:hint="eastAsia" w:ascii="仿宋_GB2312" w:hAnsi="仿宋_GB2312" w:eastAsia="仿宋_GB2312" w:cs="仿宋_GB2312"/>
          <w:kern w:val="2"/>
          <w:sz w:val="32"/>
          <w:szCs w:val="32"/>
          <w:highlight w:val="none"/>
          <w:u w:val="none"/>
          <w:lang w:val="en-US" w:eastAsia="zh-CN" w:bidi="ar-SA"/>
        </w:rPr>
        <w:t>至2025年，实现存量工业企业（土地）</w:t>
      </w:r>
      <w:r>
        <w:rPr>
          <w:rStyle w:val="7"/>
          <w:rFonts w:hint="eastAsia" w:ascii="仿宋_GB2312" w:hAnsi="仿宋_GB2312" w:eastAsia="仿宋_GB2312" w:cs="仿宋_GB2312"/>
          <w:kern w:val="2"/>
          <w:sz w:val="32"/>
          <w:szCs w:val="32"/>
          <w:highlight w:val="none"/>
          <w:u w:val="none"/>
          <w:lang w:val="en" w:eastAsia="zh-CN" w:bidi="ar-SA"/>
        </w:rPr>
        <w:t>亩产效益综合评价常态化</w:t>
      </w:r>
      <w:r>
        <w:rPr>
          <w:rStyle w:val="7"/>
          <w:rFonts w:hint="eastAsia" w:ascii="仿宋_GB2312" w:hAnsi="仿宋_GB2312" w:eastAsia="仿宋_GB2312" w:cs="仿宋_GB2312"/>
          <w:kern w:val="2"/>
          <w:sz w:val="32"/>
          <w:szCs w:val="32"/>
          <w:highlight w:val="none"/>
          <w:u w:val="none"/>
          <w:lang w:val="en-US" w:eastAsia="zh-CN" w:bidi="ar-SA"/>
        </w:rPr>
        <w:t>，</w:t>
      </w:r>
      <w:r>
        <w:rPr>
          <w:rStyle w:val="7"/>
          <w:rFonts w:hint="eastAsia" w:ascii="仿宋_GB2312" w:hAnsi="仿宋_GB2312" w:eastAsia="仿宋_GB2312" w:cs="仿宋_GB2312"/>
          <w:kern w:val="2"/>
          <w:sz w:val="32"/>
          <w:szCs w:val="32"/>
          <w:highlight w:val="none"/>
          <w:u w:val="none"/>
          <w:lang w:val="en" w:eastAsia="zh-CN" w:bidi="ar-SA"/>
        </w:rPr>
        <w:t>把亩产效益综合评价结果应用作为优化存量工业用地管理的有力抓手，并加强对闲置工业用地、低效工业用地、村镇工业集聚区、政府供地项目等用地的管理，</w:t>
      </w:r>
      <w:r>
        <w:rPr>
          <w:rStyle w:val="7"/>
          <w:rFonts w:hint="eastAsia" w:ascii="仿宋_GB2312" w:hAnsi="仿宋_GB2312" w:eastAsia="仿宋_GB2312" w:cs="仿宋_GB2312"/>
          <w:kern w:val="2"/>
          <w:sz w:val="32"/>
          <w:szCs w:val="32"/>
          <w:highlight w:val="none"/>
          <w:u w:val="none"/>
          <w:lang w:val="en-US" w:eastAsia="zh-CN" w:bidi="ar-SA"/>
        </w:rPr>
        <w:t>促进全社会形成提高土地产出效益共识。</w:t>
      </w:r>
    </w:p>
    <w:p>
      <w:pPr>
        <w:pStyle w:val="2"/>
        <w:keepNext w:val="0"/>
        <w:keepLines w:val="0"/>
        <w:pageBreakBefore w:val="0"/>
        <w:widowControl w:val="0"/>
        <w:kinsoku/>
        <w:wordWrap/>
        <w:overflowPunct/>
        <w:topLinePunct w:val="0"/>
        <w:autoSpaceDE/>
        <w:autoSpaceDN/>
        <w:bidi w:val="0"/>
        <w:snapToGrid w:val="0"/>
        <w:spacing w:line="570" w:lineRule="exact"/>
        <w:ind w:left="0" w:leftChars="0" w:firstLine="642" w:firstLineChars="200"/>
        <w:rPr>
          <w:rFonts w:hint="eastAsia" w:ascii="仿宋_GB2312" w:hAnsi="仿宋_GB2312" w:eastAsia="仿宋_GB2312" w:cs="仿宋_GB2312"/>
          <w:sz w:val="32"/>
          <w:szCs w:val="32"/>
          <w:highlight w:val="none"/>
          <w:lang w:val="en-US" w:eastAsia="zh-CN"/>
        </w:rPr>
      </w:pPr>
      <w:r>
        <w:rPr>
          <w:rStyle w:val="7"/>
          <w:rFonts w:hint="eastAsia" w:ascii="仿宋_GB2312" w:hAnsi="仿宋_GB2312" w:eastAsia="仿宋_GB2312" w:cs="仿宋_GB2312"/>
          <w:b/>
          <w:bCs/>
          <w:sz w:val="32"/>
          <w:szCs w:val="32"/>
          <w:highlight w:val="none"/>
          <w:u w:val="none"/>
          <w:lang w:val="en-US" w:eastAsia="zh-CN"/>
        </w:rPr>
        <w:t>4.推动存量工业用地产业业态升级。</w:t>
      </w:r>
      <w:r>
        <w:rPr>
          <w:rFonts w:hint="eastAsia" w:ascii="仿宋_GB2312" w:hAnsi="仿宋_GB2312" w:eastAsia="仿宋_GB2312" w:cs="仿宋_GB2312"/>
          <w:color w:val="000000" w:themeColor="text1"/>
          <w:sz w:val="32"/>
          <w:szCs w:val="32"/>
          <w:highlight w:val="none"/>
          <w14:textFill>
            <w14:solidFill>
              <w14:schemeClr w14:val="tx1"/>
            </w14:solidFill>
          </w14:textFill>
        </w:rPr>
        <w:t>以国土空间规划为依据，以产业发展规划为指引，</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以加强管理和支持改造为抓手，通过产出效益综合评价提升企业向</w:t>
      </w:r>
      <w:r>
        <w:rPr>
          <w:rStyle w:val="7"/>
          <w:rFonts w:hint="eastAsia" w:ascii="仿宋_GB2312" w:hAnsi="仿宋_GB2312" w:eastAsia="仿宋_GB2312" w:cs="仿宋_GB2312"/>
          <w:kern w:val="2"/>
          <w:sz w:val="32"/>
          <w:szCs w:val="32"/>
          <w:highlight w:val="none"/>
          <w:u w:val="none"/>
          <w:lang w:val="en-US" w:eastAsia="zh-CN" w:bidi="ar-SA"/>
        </w:rPr>
        <w:t>高端、高质量发展的责任和意识；</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通过大力推动</w:t>
      </w:r>
      <w:r>
        <w:rPr>
          <w:rStyle w:val="7"/>
          <w:rFonts w:hint="eastAsia" w:ascii="仿宋_GB2312" w:hAnsi="仿宋_GB2312" w:eastAsia="仿宋_GB2312" w:cs="仿宋_GB2312"/>
          <w:sz w:val="32"/>
          <w:szCs w:val="32"/>
          <w:highlight w:val="none"/>
          <w:u w:val="none"/>
          <w:lang w:val="en-US" w:eastAsia="zh-CN"/>
        </w:rPr>
        <w:t>“工改工”</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Style w:val="7"/>
          <w:rFonts w:hint="eastAsia" w:ascii="仿宋_GB2312" w:hAnsi="仿宋_GB2312" w:eastAsia="仿宋_GB2312" w:cs="仿宋_GB2312"/>
          <w:sz w:val="32"/>
          <w:szCs w:val="32"/>
          <w:highlight w:val="none"/>
          <w:u w:val="none"/>
          <w:lang w:val="en-US" w:eastAsia="zh-CN"/>
        </w:rPr>
        <w:t>狠抓载体建设，搭建合作平台，引进一批优质企业，带动</w:t>
      </w:r>
      <w:r>
        <w:rPr>
          <w:rFonts w:hint="eastAsia" w:ascii="仿宋_GB2312" w:hAnsi="仿宋_GB2312" w:eastAsia="仿宋_GB2312" w:cs="仿宋_GB2312"/>
          <w:color w:val="000000" w:themeColor="text1"/>
          <w:sz w:val="32"/>
          <w:szCs w:val="32"/>
          <w:highlight w:val="none"/>
          <w14:textFill>
            <w14:solidFill>
              <w14:schemeClr w14:val="tx1"/>
            </w14:solidFill>
          </w14:textFill>
        </w:rPr>
        <w:t>产业结构进一步优化，上下游产业链进一步完善，产业集聚效应进一步显现，产业发展质量和效益显著提高</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Fonts w:hint="eastAsia" w:ascii="仿宋_GB2312" w:hAnsi="仿宋_GB2312" w:eastAsia="仿宋_GB2312" w:cs="仿宋_GB2312"/>
          <w:color w:val="auto"/>
          <w:sz w:val="32"/>
          <w:szCs w:val="32"/>
          <w:highlight w:val="none"/>
          <w:lang w:val="en-US" w:eastAsia="zh-CN"/>
        </w:rPr>
      </w:pPr>
      <w:r>
        <w:rPr>
          <w:rStyle w:val="7"/>
          <w:rFonts w:hint="eastAsia" w:ascii="仿宋_GB2312" w:hAnsi="仿宋_GB2312" w:eastAsia="仿宋_GB2312" w:cs="仿宋_GB2312"/>
          <w:b/>
          <w:bCs/>
          <w:sz w:val="32"/>
          <w:szCs w:val="32"/>
          <w:highlight w:val="none"/>
          <w:u w:val="none"/>
          <w:lang w:val="en-US" w:eastAsia="zh-CN"/>
        </w:rPr>
        <w:t>5.推动工业片区环境改善和形象提升。</w:t>
      </w:r>
      <w:r>
        <w:rPr>
          <w:rStyle w:val="7"/>
          <w:rFonts w:hint="eastAsia" w:ascii="仿宋_GB2312" w:hAnsi="仿宋_GB2312" w:eastAsia="仿宋_GB2312" w:cs="仿宋_GB2312"/>
          <w:kern w:val="2"/>
          <w:sz w:val="32"/>
          <w:szCs w:val="32"/>
          <w:highlight w:val="none"/>
          <w:u w:val="none"/>
          <w:lang w:val="en-US" w:eastAsia="zh-CN" w:bidi="ar-SA"/>
        </w:rPr>
        <w:t>加强工业建筑在满足功能使用的前提下，体现工业技术的审美要求，注重沿城市道路工业建筑空间尺度、建筑形态的把控。通过“工改工”推动工业建筑使用功能优化、设施完善，能源利用效率大幅提升，主要污染物排放量进一步减少，环境质量得到有效改善。</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楷体" w:hAnsi="楷体" w:eastAsia="楷体" w:cs="楷体"/>
          <w:b w:val="0"/>
          <w:bCs w:val="0"/>
          <w:kern w:val="2"/>
          <w:sz w:val="32"/>
          <w:szCs w:val="32"/>
          <w:highlight w:val="none"/>
          <w:u w:val="none"/>
          <w:lang w:val="en-US" w:eastAsia="zh-CN" w:bidi="ar-SA"/>
        </w:rPr>
      </w:pPr>
      <w:r>
        <w:rPr>
          <w:rFonts w:hint="eastAsia" w:ascii="黑体" w:hAnsi="黑体" w:eastAsia="黑体" w:cs="黑体"/>
          <w:sz w:val="32"/>
          <w:szCs w:val="32"/>
          <w:highlight w:val="none"/>
          <w:u w:val="none"/>
          <w:lang w:val="en" w:eastAsia="zh-CN"/>
        </w:rPr>
        <w:t>二、健全管理体系</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楷体" w:hAnsi="楷体" w:eastAsia="楷体" w:cs="楷体"/>
          <w:b w:val="0"/>
          <w:bCs w:val="0"/>
          <w:kern w:val="2"/>
          <w:sz w:val="32"/>
          <w:szCs w:val="32"/>
          <w:highlight w:val="none"/>
          <w:u w:val="none"/>
          <w:lang w:val="en-US" w:eastAsia="zh-CN" w:bidi="ar-SA"/>
        </w:rPr>
      </w:pPr>
      <w:r>
        <w:rPr>
          <w:rFonts w:hint="eastAsia" w:ascii="楷体" w:hAnsi="楷体" w:eastAsia="楷体" w:cs="楷体"/>
          <w:b w:val="0"/>
          <w:bCs w:val="0"/>
          <w:kern w:val="2"/>
          <w:sz w:val="32"/>
          <w:szCs w:val="32"/>
          <w:highlight w:val="none"/>
          <w:u w:val="none"/>
          <w:lang w:val="en-US" w:eastAsia="zh-CN" w:bidi="ar-SA"/>
        </w:rPr>
        <w:t>（一）全区存量工业用地综合管理</w:t>
      </w:r>
    </w:p>
    <w:p>
      <w:pPr>
        <w:keepNext w:val="0"/>
        <w:keepLines w:val="0"/>
        <w:pageBreakBefore w:val="0"/>
        <w:widowControl w:val="0"/>
        <w:kinsoku/>
        <w:wordWrap/>
        <w:overflowPunct/>
        <w:topLinePunct w:val="0"/>
        <w:autoSpaceDE/>
        <w:autoSpaceDN/>
        <w:bidi w:val="0"/>
        <w:adjustRightInd/>
        <w:snapToGrid w:val="0"/>
        <w:spacing w:beforeAutospacing="0" w:afterAutospacing="0" w:line="570" w:lineRule="exact"/>
        <w:ind w:firstLine="642" w:firstLineChars="200"/>
        <w:textAlignment w:val="auto"/>
        <w:rPr>
          <w:rStyle w:val="7"/>
          <w:rFonts w:hint="eastAsia" w:ascii="仿宋_GB2312" w:hAnsi="仿宋_GB2312" w:eastAsia="仿宋_GB2312" w:cs="仿宋_GB2312"/>
          <w:kern w:val="2"/>
          <w:sz w:val="32"/>
          <w:szCs w:val="32"/>
          <w:highlight w:val="none"/>
          <w:u w:val="none"/>
          <w:lang w:val="en-US" w:eastAsia="zh-CN" w:bidi="ar-SA"/>
        </w:rPr>
      </w:pPr>
      <w:r>
        <w:rPr>
          <w:rStyle w:val="7"/>
          <w:rFonts w:hint="eastAsia" w:ascii="仿宋_GB2312" w:hAnsi="仿宋_GB2312" w:eastAsia="仿宋_GB2312" w:cs="仿宋_GB2312"/>
          <w:b/>
          <w:bCs/>
          <w:kern w:val="2"/>
          <w:sz w:val="32"/>
          <w:szCs w:val="32"/>
          <w:highlight w:val="none"/>
          <w:u w:val="none"/>
          <w:lang w:val="en-US" w:eastAsia="zh-CN" w:bidi="ar-SA"/>
        </w:rPr>
        <w:t>1.建设综合信息服务平台。</w:t>
      </w:r>
      <w:r>
        <w:rPr>
          <w:rStyle w:val="7"/>
          <w:rFonts w:hint="eastAsia" w:ascii="仿宋_GB2312" w:hAnsi="仿宋_GB2312" w:eastAsia="仿宋_GB2312" w:cs="仿宋_GB2312"/>
          <w:sz w:val="32"/>
          <w:szCs w:val="32"/>
          <w:highlight w:val="none"/>
          <w:u w:val="none"/>
          <w:lang w:val="en" w:eastAsia="zh-CN"/>
        </w:rPr>
        <w:t>加强全区企业和工业用地的信息化管理和服务，建设企业（土地）综合信息服务平台，通过企业和土地权属人主动填报用地信息、各业务主管部门对应上传数据、</w:t>
      </w:r>
      <w:r>
        <w:rPr>
          <w:rStyle w:val="7"/>
          <w:rFonts w:hint="eastAsia" w:ascii="仿宋_GB2312" w:hAnsi="仿宋_GB2312" w:eastAsia="仿宋_GB2312" w:cs="仿宋_GB2312"/>
          <w:sz w:val="32"/>
          <w:szCs w:val="32"/>
          <w:highlight w:val="none"/>
          <w:u w:val="none"/>
          <w:lang w:val="en-US" w:eastAsia="zh-CN"/>
        </w:rPr>
        <w:t>各镇街现场核查后补充数据，构建高度集成的企业（土地）综合信息全景图；同时发挥平台服务功能，为企业提供反映问题和诉求的渠道，建立企业诉求集中受理、分发处理和跟踪反馈机制，提高服务企业效率。</w:t>
      </w:r>
    </w:p>
    <w:p>
      <w:pPr>
        <w:keepNext w:val="0"/>
        <w:keepLines w:val="0"/>
        <w:pageBreakBefore w:val="0"/>
        <w:widowControl w:val="0"/>
        <w:kinsoku/>
        <w:wordWrap/>
        <w:overflowPunct/>
        <w:topLinePunct w:val="0"/>
        <w:autoSpaceDE/>
        <w:autoSpaceDN/>
        <w:bidi w:val="0"/>
        <w:adjustRightInd/>
        <w:snapToGrid w:val="0"/>
        <w:spacing w:beforeAutospacing="0" w:afterAutospacing="0" w:line="570" w:lineRule="exact"/>
        <w:ind w:firstLine="642" w:firstLineChars="200"/>
        <w:textAlignment w:val="auto"/>
        <w:rPr>
          <w:rFonts w:hint="default" w:ascii="楷体" w:hAnsi="楷体" w:eastAsia="楷体" w:cs="楷体"/>
          <w:bCs/>
          <w:sz w:val="24"/>
          <w:highlight w:val="none"/>
          <w:lang w:val="en-US" w:eastAsia="zh-CN"/>
        </w:rPr>
      </w:pPr>
      <w:r>
        <w:rPr>
          <w:rStyle w:val="7"/>
          <w:rFonts w:hint="eastAsia" w:ascii="仿宋_GB2312" w:hAnsi="仿宋_GB2312" w:eastAsia="仿宋_GB2312" w:cs="仿宋_GB2312"/>
          <w:b/>
          <w:bCs/>
          <w:kern w:val="2"/>
          <w:sz w:val="32"/>
          <w:szCs w:val="32"/>
          <w:highlight w:val="none"/>
          <w:u w:val="none"/>
          <w:lang w:val="en-US" w:eastAsia="zh-CN" w:bidi="ar-SA"/>
        </w:rPr>
        <w:t>2.</w:t>
      </w:r>
      <w:r>
        <w:rPr>
          <w:rStyle w:val="7"/>
          <w:rFonts w:hint="eastAsia" w:ascii="仿宋_GB2312" w:hAnsi="仿宋_GB2312" w:eastAsia="仿宋_GB2312" w:cs="仿宋_GB2312"/>
          <w:b/>
          <w:bCs/>
          <w:kern w:val="2"/>
          <w:sz w:val="32"/>
          <w:szCs w:val="32"/>
          <w:highlight w:val="none"/>
          <w:u w:val="none"/>
          <w:lang w:val="en" w:eastAsia="zh-CN" w:bidi="ar-SA"/>
        </w:rPr>
        <w:t>开展亩产效益综合评价。</w:t>
      </w:r>
      <w:r>
        <w:rPr>
          <w:rStyle w:val="7"/>
          <w:rFonts w:hint="eastAsia" w:ascii="仿宋_GB2312" w:hAnsi="仿宋_GB2312" w:eastAsia="仿宋_GB2312" w:cs="仿宋_GB2312"/>
          <w:sz w:val="32"/>
          <w:szCs w:val="32"/>
          <w:highlight w:val="none"/>
          <w:u w:val="none"/>
          <w:lang w:val="en-US" w:eastAsia="zh-CN"/>
        </w:rPr>
        <w:t>结合“</w:t>
      </w:r>
      <w:r>
        <w:rPr>
          <w:rStyle w:val="7"/>
          <w:rFonts w:hint="eastAsia" w:ascii="仿宋_GB2312" w:hAnsi="仿宋_GB2312" w:eastAsia="仿宋_GB2312" w:cs="仿宋_GB2312"/>
          <w:sz w:val="32"/>
          <w:szCs w:val="32"/>
          <w:highlight w:val="none"/>
          <w:u w:val="none"/>
          <w:lang w:eastAsia="zh-CN"/>
        </w:rPr>
        <w:t>企业（土地）综合信息服务平台</w:t>
      </w:r>
      <w:r>
        <w:rPr>
          <w:rStyle w:val="7"/>
          <w:rFonts w:hint="eastAsia" w:ascii="仿宋_GB2312" w:hAnsi="仿宋_GB2312" w:eastAsia="仿宋_GB2312" w:cs="仿宋_GB2312"/>
          <w:sz w:val="32"/>
          <w:szCs w:val="32"/>
          <w:highlight w:val="none"/>
          <w:u w:val="none"/>
          <w:lang w:val="en-US" w:eastAsia="zh-CN"/>
        </w:rPr>
        <w:t>”掌握的企业（土地）综合信息全景图，综合考虑亩均产出、单位能耗、研究费用支出、技改投资、各级各类认定等指标，制定存量工业用地和企业</w:t>
      </w:r>
      <w:r>
        <w:rPr>
          <w:rStyle w:val="7"/>
          <w:rFonts w:hint="eastAsia" w:ascii="仿宋_GB2312" w:hAnsi="仿宋_GB2312" w:eastAsia="仿宋_GB2312" w:cs="仿宋_GB2312"/>
          <w:sz w:val="32"/>
          <w:szCs w:val="32"/>
          <w:highlight w:val="none"/>
          <w:u w:val="none"/>
          <w:lang w:val="en" w:eastAsia="zh-CN"/>
        </w:rPr>
        <w:t>亩产效益综合评价</w:t>
      </w:r>
      <w:r>
        <w:rPr>
          <w:rStyle w:val="7"/>
          <w:rFonts w:hint="eastAsia" w:ascii="仿宋_GB2312" w:hAnsi="仿宋_GB2312" w:eastAsia="仿宋_GB2312" w:cs="仿宋_GB2312"/>
          <w:sz w:val="32"/>
          <w:szCs w:val="32"/>
          <w:highlight w:val="none"/>
          <w:u w:val="none"/>
          <w:lang w:val="en-US" w:eastAsia="zh-CN"/>
        </w:rPr>
        <w:t>办法，分别以地块为单位和以企业为单位，每年对存量工业用地（企业）</w:t>
      </w:r>
      <w:r>
        <w:rPr>
          <w:rStyle w:val="7"/>
          <w:rFonts w:hint="eastAsia" w:ascii="仿宋_GB2312" w:hAnsi="仿宋_GB2312" w:eastAsia="仿宋_GB2312" w:cs="仿宋_GB2312"/>
          <w:sz w:val="32"/>
          <w:szCs w:val="32"/>
          <w:highlight w:val="none"/>
          <w:u w:val="none"/>
          <w:lang w:val="en" w:eastAsia="zh-CN"/>
        </w:rPr>
        <w:t>亩产效益</w:t>
      </w:r>
      <w:r>
        <w:rPr>
          <w:rStyle w:val="7"/>
          <w:rFonts w:hint="eastAsia" w:ascii="仿宋_GB2312" w:hAnsi="仿宋_GB2312" w:eastAsia="仿宋_GB2312" w:cs="仿宋_GB2312"/>
          <w:sz w:val="32"/>
          <w:szCs w:val="32"/>
          <w:highlight w:val="none"/>
          <w:u w:val="none"/>
          <w:lang w:val="en-US" w:eastAsia="zh-CN"/>
        </w:rPr>
        <w:t>进行</w:t>
      </w:r>
      <w:r>
        <w:rPr>
          <w:rStyle w:val="7"/>
          <w:rFonts w:hint="eastAsia" w:ascii="仿宋_GB2312" w:hAnsi="仿宋_GB2312" w:eastAsia="仿宋_GB2312" w:cs="仿宋_GB2312"/>
          <w:sz w:val="32"/>
          <w:szCs w:val="32"/>
          <w:highlight w:val="none"/>
          <w:u w:val="none"/>
          <w:lang w:val="en" w:eastAsia="zh-CN"/>
        </w:rPr>
        <w:t>综合评价</w:t>
      </w:r>
      <w:r>
        <w:rPr>
          <w:rStyle w:val="7"/>
          <w:rFonts w:hint="eastAsia" w:ascii="仿宋_GB2312" w:hAnsi="仿宋_GB2312" w:eastAsia="仿宋_GB2312" w:cs="仿宋_GB2312"/>
          <w:sz w:val="32"/>
          <w:szCs w:val="32"/>
          <w:highlight w:val="none"/>
          <w:u w:val="none"/>
          <w:lang w:val="en-US" w:eastAsia="zh-CN"/>
        </w:rPr>
        <w:t>，依据综合评价得分高低排序，按3:3:3:1的比例划分A、B、C、D四档企业（土地），作为分类施策管理的基础。</w:t>
      </w:r>
      <w:r>
        <w:rPr>
          <w:rStyle w:val="7"/>
          <w:rFonts w:hint="eastAsia" w:ascii="仿宋_GB2312" w:hAnsi="仿宋_GB2312" w:eastAsia="仿宋_GB2312" w:cs="仿宋_GB2312"/>
          <w:kern w:val="2"/>
          <w:sz w:val="32"/>
          <w:szCs w:val="32"/>
          <w:highlight w:val="none"/>
          <w:u w:val="none"/>
          <w:lang w:val="en" w:eastAsia="zh-CN" w:bidi="ar-SA"/>
        </w:rPr>
        <w:t>土地权属人未主动上传数据，或上传数据存在弄虚作假的，直接将其划入</w:t>
      </w:r>
      <w:r>
        <w:rPr>
          <w:rStyle w:val="7"/>
          <w:rFonts w:hint="eastAsia" w:ascii="仿宋_GB2312" w:hAnsi="仿宋_GB2312" w:eastAsia="仿宋_GB2312" w:cs="仿宋_GB2312"/>
          <w:kern w:val="2"/>
          <w:sz w:val="32"/>
          <w:szCs w:val="32"/>
          <w:highlight w:val="none"/>
          <w:u w:val="none"/>
          <w:lang w:val="en-US" w:eastAsia="zh-CN" w:bidi="ar-SA"/>
        </w:rPr>
        <w:t>D档</w:t>
      </w:r>
      <w:r>
        <w:rPr>
          <w:rStyle w:val="7"/>
          <w:rFonts w:hint="eastAsia" w:ascii="仿宋_GB2312" w:hAnsi="仿宋_GB2312" w:eastAsia="仿宋_GB2312" w:cs="仿宋_GB2312"/>
          <w:sz w:val="32"/>
          <w:szCs w:val="32"/>
          <w:highlight w:val="none"/>
          <w:u w:val="none"/>
          <w:lang w:val="en-US" w:eastAsia="zh-CN"/>
        </w:rPr>
        <w:t>管理</w:t>
      </w:r>
      <w:r>
        <w:rPr>
          <w:rStyle w:val="7"/>
          <w:rFonts w:hint="eastAsia" w:ascii="仿宋_GB2312" w:hAnsi="仿宋_GB2312" w:eastAsia="仿宋_GB2312" w:cs="仿宋_GB2312"/>
          <w:kern w:val="2"/>
          <w:sz w:val="32"/>
          <w:szCs w:val="32"/>
          <w:highlight w:val="none"/>
          <w:u w:val="none"/>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Times New Roman" w:hAnsi="Times New Roman" w:eastAsia="仿宋_GB2312" w:cs="Times New Roman"/>
          <w:sz w:val="32"/>
          <w:szCs w:val="32"/>
          <w:highlight w:val="none"/>
          <w:u w:val="none"/>
          <w:lang w:val="en-US" w:eastAsia="zh-CN"/>
        </w:rPr>
      </w:pPr>
      <w:r>
        <w:rPr>
          <w:rStyle w:val="7"/>
          <w:rFonts w:hint="eastAsia" w:ascii="仿宋_GB2312" w:hAnsi="仿宋_GB2312" w:eastAsia="仿宋_GB2312" w:cs="仿宋_GB2312"/>
          <w:b/>
          <w:bCs/>
          <w:kern w:val="2"/>
          <w:sz w:val="32"/>
          <w:szCs w:val="32"/>
          <w:highlight w:val="none"/>
          <w:u w:val="none"/>
          <w:lang w:val="en-US" w:eastAsia="zh-CN" w:bidi="ar-SA"/>
        </w:rPr>
        <w:t>3.规范土地厂房租赁市场。</w:t>
      </w:r>
      <w:r>
        <w:rPr>
          <w:rStyle w:val="7"/>
          <w:rFonts w:hint="eastAsia" w:ascii="Times New Roman" w:hAnsi="Times New Roman" w:eastAsia="仿宋_GB2312" w:cs="Times New Roman"/>
          <w:sz w:val="32"/>
          <w:szCs w:val="32"/>
          <w:highlight w:val="none"/>
          <w:u w:val="none"/>
          <w:lang w:val="en-US" w:eastAsia="zh-CN"/>
        </w:rPr>
        <w:t>在“</w:t>
      </w:r>
      <w:r>
        <w:rPr>
          <w:rStyle w:val="7"/>
          <w:rFonts w:hint="eastAsia" w:ascii="Times New Roman" w:hAnsi="Times New Roman" w:eastAsia="仿宋_GB2312" w:cs="Times New Roman"/>
          <w:sz w:val="32"/>
          <w:szCs w:val="32"/>
          <w:highlight w:val="none"/>
          <w:u w:val="none"/>
          <w:lang w:eastAsia="zh-CN"/>
        </w:rPr>
        <w:t>企业（土地）综合信息服务平台</w:t>
      </w:r>
      <w:r>
        <w:rPr>
          <w:rStyle w:val="7"/>
          <w:rFonts w:hint="eastAsia" w:ascii="Times New Roman" w:hAnsi="Times New Roman" w:eastAsia="仿宋_GB2312" w:cs="Times New Roman"/>
          <w:sz w:val="32"/>
          <w:szCs w:val="32"/>
          <w:highlight w:val="none"/>
          <w:u w:val="none"/>
          <w:lang w:val="en-US" w:eastAsia="zh-CN"/>
        </w:rPr>
        <w:t>”开设存量工业用地和厂房租赁信息发布和租赁行为管理功能，对存量工业用地实施“工改工”项目的租赁行为一律纳入平台管理；引导社会存量工业用地和厂房租赁信息在该平台统一发布，引导市场主体通过该平台寻找厂房租赁信息，鼓励双方租赁行为纳入平台管理，逐步对全区存量工业用地和厂房的租赁市场进行统一规范管理。</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楷体" w:hAnsi="楷体" w:eastAsia="楷体" w:cs="楷体"/>
          <w:b w:val="0"/>
          <w:bCs w:val="0"/>
          <w:kern w:val="2"/>
          <w:sz w:val="32"/>
          <w:szCs w:val="32"/>
          <w:highlight w:val="none"/>
          <w:u w:val="none"/>
          <w:lang w:val="en-US" w:eastAsia="zh-CN" w:bidi="ar-SA"/>
        </w:rPr>
      </w:pPr>
      <w:r>
        <w:rPr>
          <w:rFonts w:hint="eastAsia" w:ascii="楷体" w:hAnsi="楷体" w:eastAsia="楷体" w:cs="楷体"/>
          <w:b w:val="0"/>
          <w:bCs w:val="0"/>
          <w:kern w:val="2"/>
          <w:sz w:val="32"/>
          <w:szCs w:val="32"/>
          <w:highlight w:val="none"/>
          <w:u w:val="none"/>
          <w:lang w:val="en-US" w:eastAsia="zh-CN" w:bidi="ar-SA"/>
        </w:rPr>
        <w:t>（二）存量工业用地分类管理</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b/>
          <w:bCs/>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1.闲置工业用地</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——确定一批重点处置名单。</w:t>
      </w:r>
      <w:r>
        <w:rPr>
          <w:rStyle w:val="7"/>
          <w:rFonts w:hint="eastAsia" w:ascii="仿宋_GB2312" w:hAnsi="仿宋_GB2312" w:eastAsia="仿宋_GB2312" w:cs="仿宋_GB2312"/>
          <w:sz w:val="32"/>
          <w:szCs w:val="32"/>
          <w:highlight w:val="none"/>
          <w:u w:val="none"/>
          <w:lang w:val="en-US" w:eastAsia="zh-CN"/>
        </w:rPr>
        <w:t>加强闲置土地的认定、监管和履职，根据《闲置土地处置办法》和省市相关规定，选取一批闲置原因相对明确、政府与企业权责相对清晰，以及国有企业所属的闲置用地，列入重点处置名单，建立相关用地台账，并统一落图管理。</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Fonts w:hint="eastAsia" w:ascii="仿宋_GB2312" w:hAnsi="Calibri" w:eastAsia="仿宋_GB2312" w:cs="仿宋_GB2312"/>
          <w:sz w:val="32"/>
          <w:szCs w:val="32"/>
          <w:highlight w:val="none"/>
          <w:lang w:eastAsia="zh-CN"/>
        </w:rPr>
      </w:pPr>
      <w:r>
        <w:rPr>
          <w:rStyle w:val="7"/>
          <w:rFonts w:hint="eastAsia" w:ascii="仿宋_GB2312" w:hAnsi="仿宋_GB2312" w:eastAsia="仿宋_GB2312" w:cs="仿宋_GB2312"/>
          <w:b/>
          <w:bCs/>
          <w:sz w:val="32"/>
          <w:szCs w:val="32"/>
          <w:highlight w:val="none"/>
          <w:u w:val="none"/>
          <w:lang w:val="en-US" w:eastAsia="zh-CN"/>
        </w:rPr>
        <w:t>——分类型分时序处置一批闲置用地。</w:t>
      </w:r>
      <w:r>
        <w:rPr>
          <w:rFonts w:hint="eastAsia" w:ascii="仿宋_GB2312" w:hAnsi="Calibri" w:eastAsia="仿宋_GB2312" w:cs="仿宋_GB2312"/>
          <w:sz w:val="32"/>
          <w:szCs w:val="32"/>
          <w:highlight w:val="none"/>
        </w:rPr>
        <w:t>对列入重点处置名单中属于政府、政府有关部门的行为造成动工延迟情形的闲置土地需分类型分时序完成处置，对可允许延期动工开发的，经自然资源部门会同区招商部门、企业服务部门研商后报请区土地管理委员会审议后重新签订合同补充协议和投资监管补充协议；对可协商收回的，收回的补偿金额应不低于土地使用权人取得土地的成本，综合考虑其合理的直接损失，参考市场价格，由双方共同协商确定。已认定为闲置土地的地块，未完成处置前不得受理该国有建设用地使用权人新的用地申请，其转让、出租、抵押和变更登记按照《广州市闲置土地处理办法》等规定执行</w:t>
      </w:r>
      <w:r>
        <w:rPr>
          <w:rFonts w:hint="eastAsia" w:ascii="仿宋_GB2312" w:hAnsi="Calibri"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b/>
          <w:bCs/>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2.低效工业用地</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eastAsia"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——明确低效工业用地范围。</w:t>
      </w:r>
      <w:r>
        <w:rPr>
          <w:rStyle w:val="7"/>
          <w:rFonts w:hint="eastAsia" w:ascii="仿宋_GB2312" w:hAnsi="仿宋_GB2312" w:eastAsia="仿宋_GB2312" w:cs="仿宋_GB2312"/>
          <w:sz w:val="32"/>
          <w:szCs w:val="32"/>
          <w:highlight w:val="none"/>
          <w:u w:val="none"/>
          <w:lang w:val="en-US" w:eastAsia="zh-CN"/>
        </w:rPr>
        <w:t>将</w:t>
      </w:r>
      <w:r>
        <w:rPr>
          <w:rStyle w:val="7"/>
          <w:rFonts w:hint="eastAsia" w:ascii="仿宋_GB2312" w:hAnsi="仿宋_GB2312" w:eastAsia="仿宋_GB2312" w:cs="仿宋_GB2312"/>
          <w:sz w:val="32"/>
          <w:szCs w:val="32"/>
          <w:highlight w:val="none"/>
          <w:u w:val="none"/>
          <w:lang w:val="en" w:eastAsia="zh-CN"/>
        </w:rPr>
        <w:t>存量工业用地亩产效益综合评价列入</w:t>
      </w:r>
      <w:r>
        <w:rPr>
          <w:rStyle w:val="7"/>
          <w:rFonts w:hint="eastAsia" w:ascii="仿宋_GB2312" w:hAnsi="仿宋_GB2312" w:eastAsia="仿宋_GB2312" w:cs="仿宋_GB2312"/>
          <w:sz w:val="32"/>
          <w:szCs w:val="32"/>
          <w:highlight w:val="none"/>
          <w:u w:val="none"/>
          <w:lang w:val="en-US" w:eastAsia="zh-CN"/>
        </w:rPr>
        <w:t>D档的项目用地，以及经区政府认定的其他低效工业用地，列入低效用地范围，但不包括承担国家和省市区重大战略的产业项目和功能性项目用地，省市区战略性新兴产业中发挥链主企业、龙头企业作用的项目用地，按《投入产出监管协议》约定完成缴纳税收差额或违约金的项目用地，以及经区政府确认的可不列入低效工业用地范围的项目用地。</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eastAsia"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w:t>
      </w:r>
      <w:r>
        <w:rPr>
          <w:rStyle w:val="7"/>
          <w:rFonts w:hint="eastAsia" w:ascii="仿宋_GB2312" w:hAnsi="仿宋_GB2312" w:eastAsia="仿宋_GB2312" w:cs="仿宋_GB2312"/>
          <w:b/>
          <w:bCs/>
          <w:sz w:val="32"/>
          <w:szCs w:val="32"/>
          <w:highlight w:val="none"/>
          <w:u w:val="none"/>
          <w:lang w:val="en" w:eastAsia="zh-CN"/>
        </w:rPr>
        <w:t>开展低效工业用地治理。</w:t>
      </w:r>
      <w:r>
        <w:rPr>
          <w:rStyle w:val="7"/>
          <w:rFonts w:hint="eastAsia" w:ascii="仿宋_GB2312" w:hAnsi="仿宋_GB2312" w:eastAsia="仿宋_GB2312" w:cs="仿宋_GB2312"/>
          <w:sz w:val="32"/>
          <w:szCs w:val="32"/>
          <w:highlight w:val="none"/>
          <w:u w:val="none"/>
          <w:lang w:val="en-US" w:eastAsia="zh-CN"/>
        </w:rPr>
        <w:t>定向信息公示，每年对外公布低效工业用地名单，将低效工业用地名单定向发给金融机构，</w:t>
      </w:r>
      <w:r>
        <w:rPr>
          <w:rStyle w:val="7"/>
          <w:rFonts w:hint="eastAsia" w:ascii="仿宋_GB2312" w:hAnsi="仿宋_GB2312" w:eastAsia="仿宋_GB2312" w:cs="仿宋_GB2312"/>
          <w:sz w:val="32"/>
          <w:szCs w:val="32"/>
          <w:highlight w:val="none"/>
          <w:u w:val="none"/>
          <w:lang w:val="en" w:eastAsia="zh-CN"/>
        </w:rPr>
        <w:t>按照相关规定在公共信用平台对</w:t>
      </w:r>
      <w:r>
        <w:rPr>
          <w:rStyle w:val="7"/>
          <w:rFonts w:hint="eastAsia" w:ascii="仿宋_GB2312" w:hAnsi="仿宋_GB2312" w:eastAsia="仿宋_GB2312" w:cs="仿宋_GB2312"/>
          <w:sz w:val="32"/>
          <w:szCs w:val="32"/>
          <w:highlight w:val="none"/>
          <w:u w:val="none"/>
          <w:lang w:val="en-US" w:eastAsia="zh-CN"/>
        </w:rPr>
        <w:t>低效工业用地名单</w:t>
      </w:r>
      <w:r>
        <w:rPr>
          <w:rStyle w:val="7"/>
          <w:rFonts w:hint="eastAsia" w:ascii="仿宋_GB2312" w:hAnsi="仿宋_GB2312" w:eastAsia="仿宋_GB2312" w:cs="仿宋_GB2312"/>
          <w:sz w:val="32"/>
          <w:szCs w:val="32"/>
          <w:highlight w:val="none"/>
          <w:u w:val="none"/>
          <w:lang w:val="en" w:eastAsia="zh-CN"/>
        </w:rPr>
        <w:t>进行特别提示。</w:t>
      </w:r>
      <w:r>
        <w:rPr>
          <w:rStyle w:val="7"/>
          <w:rFonts w:hint="eastAsia" w:ascii="仿宋_GB2312" w:hAnsi="仿宋_GB2312" w:eastAsia="仿宋_GB2312" w:cs="仿宋_GB2312"/>
          <w:sz w:val="32"/>
          <w:szCs w:val="32"/>
          <w:highlight w:val="none"/>
          <w:u w:val="none"/>
          <w:lang w:val="en-US" w:eastAsia="zh-CN"/>
        </w:rPr>
        <w:t>实施差别政策，列入低效工业用地名单的，不予享受</w:t>
      </w:r>
      <w:r>
        <w:rPr>
          <w:rStyle w:val="7"/>
          <w:rFonts w:hint="eastAsia" w:ascii="仿宋_GB2312" w:hAnsi="仿宋_GB2312" w:eastAsia="仿宋_GB2312" w:cs="仿宋_GB2312"/>
          <w:sz w:val="32"/>
          <w:szCs w:val="32"/>
          <w:highlight w:val="none"/>
          <w:u w:val="none"/>
          <w:lang w:val="en" w:eastAsia="zh-CN"/>
        </w:rPr>
        <w:t>区级扶持政策，对安监、环保、用水（电、能）等方面实施差别化政策，对涉及的违法违规行为开展联合执法；</w:t>
      </w:r>
      <w:r>
        <w:rPr>
          <w:rStyle w:val="7"/>
          <w:rFonts w:hint="eastAsia" w:ascii="仿宋_GB2312" w:hAnsi="仿宋_GB2312" w:eastAsia="仿宋_GB2312" w:cs="仿宋_GB2312"/>
          <w:sz w:val="32"/>
          <w:szCs w:val="32"/>
          <w:highlight w:val="none"/>
          <w:u w:val="none"/>
          <w:lang w:val="en-US" w:eastAsia="zh-CN"/>
        </w:rPr>
        <w:t>有序用电期间将低效工业用地名单作为首要配合对象。对违法违规改变工业用地用途行为进行严厉查处，责令限期改正，恢复工业用途。对涉及违法建设的，由执法部门根据《中华人民共和国城乡规划法》《广州市违法建设查处条例》等规定处理。</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b/>
          <w:bCs/>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3.村镇工业集聚区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0" w:lineRule="exact"/>
        <w:ind w:left="0" w:leftChars="0" w:right="0" w:rightChars="0" w:firstLine="642" w:firstLineChars="200"/>
        <w:textAlignment w:val="auto"/>
        <w:outlineLvl w:val="9"/>
        <w:rPr>
          <w:rFonts w:hint="eastAsia" w:ascii="仿宋_GB2312" w:hAnsi="仿宋_GB2312" w:eastAsia="仿宋_GB2312" w:cs="仿宋_GB2312"/>
          <w:b w:val="0"/>
          <w:bCs w:val="0"/>
          <w:sz w:val="32"/>
          <w:szCs w:val="32"/>
          <w:highlight w:val="none"/>
          <w:lang w:val="en-US" w:eastAsia="zh-CN"/>
        </w:rPr>
      </w:pPr>
      <w:r>
        <w:rPr>
          <w:rStyle w:val="7"/>
          <w:rFonts w:hint="eastAsia" w:ascii="仿宋_GB2312" w:hAnsi="仿宋_GB2312" w:eastAsia="仿宋_GB2312" w:cs="仿宋_GB2312"/>
          <w:b/>
          <w:bCs/>
          <w:sz w:val="32"/>
          <w:szCs w:val="32"/>
          <w:highlight w:val="none"/>
          <w:u w:val="none"/>
          <w:lang w:val="en-US" w:eastAsia="zh-CN"/>
        </w:rPr>
        <w:t>——建立村镇工业集聚区台账。</w:t>
      </w:r>
      <w:r>
        <w:rPr>
          <w:rFonts w:hint="eastAsia" w:ascii="仿宋_GB2312" w:hAnsi="仿宋_GB2312" w:eastAsia="仿宋_GB2312" w:cs="仿宋_GB2312"/>
          <w:sz w:val="32"/>
          <w:szCs w:val="32"/>
          <w:highlight w:val="none"/>
          <w:lang w:val="en-US" w:eastAsia="zh-CN"/>
        </w:rPr>
        <w:t>按照“统一组织、统一方法、统一步骤、统一要求”原则，全面掌握村镇工业集聚区区位、面积、主导产业、用地手续、企业名单、规划和环保等基础信息，构建全区统一的村镇工业集聚区数据库，实行动态更新管理。</w:t>
      </w:r>
    </w:p>
    <w:p>
      <w:pPr>
        <w:pStyle w:val="2"/>
        <w:keepNext w:val="0"/>
        <w:keepLines w:val="0"/>
        <w:pageBreakBefore w:val="0"/>
        <w:widowControl w:val="0"/>
        <w:kinsoku/>
        <w:wordWrap/>
        <w:overflowPunct/>
        <w:topLinePunct w:val="0"/>
        <w:autoSpaceDE/>
        <w:autoSpaceDN/>
        <w:bidi w:val="0"/>
        <w:snapToGrid w:val="0"/>
        <w:spacing w:line="570" w:lineRule="exact"/>
        <w:ind w:left="0" w:leftChars="0" w:firstLine="642" w:firstLineChars="200"/>
        <w:rPr>
          <w:rFonts w:hint="eastAsia" w:ascii="仿宋_GB2312" w:hAnsi="仿宋_GB2312" w:eastAsia="仿宋_GB2312" w:cs="仿宋_GB2312"/>
          <w:b w:val="0"/>
          <w:bCs w:val="0"/>
          <w:kern w:val="2"/>
          <w:sz w:val="32"/>
          <w:szCs w:val="32"/>
          <w:highlight w:val="none"/>
          <w:u w:val="none"/>
          <w:lang w:val="en-US" w:eastAsia="zh-CN" w:bidi="ar-SA"/>
        </w:rPr>
      </w:pPr>
      <w:r>
        <w:rPr>
          <w:rStyle w:val="7"/>
          <w:rFonts w:hint="eastAsia" w:ascii="仿宋_GB2312" w:hAnsi="仿宋_GB2312" w:eastAsia="仿宋_GB2312" w:cs="仿宋_GB2312"/>
          <w:b/>
          <w:bCs/>
          <w:sz w:val="32"/>
          <w:szCs w:val="32"/>
          <w:highlight w:val="none"/>
          <w:u w:val="none"/>
          <w:lang w:val="en-US" w:eastAsia="zh-CN"/>
        </w:rPr>
        <w:t>——实施“三个一批”清单治理。</w:t>
      </w:r>
      <w:r>
        <w:rPr>
          <w:rFonts w:hint="eastAsia" w:ascii="仿宋_GB2312" w:hAnsi="仿宋_GB2312" w:eastAsia="仿宋_GB2312" w:cs="仿宋_GB2312"/>
          <w:sz w:val="32"/>
          <w:szCs w:val="32"/>
          <w:highlight w:val="none"/>
          <w:lang w:val="en-US" w:eastAsia="zh-CN"/>
        </w:rPr>
        <w:t>按照《广州市村级工业园整治提升实施指引（第二版）》确定的分类标准、实施路径、整治标准，结合工业产业区块范围，将各村镇工业集聚区列入“三个一批”（淘汰关停一批、功能转换一批、改造提升一批）清单开展治理。</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b/>
          <w:bCs/>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4.政府供地项目</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default"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——梳理供地工业项目履约情况。</w:t>
      </w:r>
      <w:r>
        <w:rPr>
          <w:rStyle w:val="7"/>
          <w:rFonts w:hint="eastAsia" w:ascii="仿宋_GB2312" w:hAnsi="仿宋_GB2312" w:eastAsia="仿宋_GB2312" w:cs="仿宋_GB2312"/>
          <w:sz w:val="32"/>
          <w:szCs w:val="32"/>
          <w:highlight w:val="none"/>
          <w:u w:val="none"/>
          <w:lang w:val="en-US" w:eastAsia="zh-CN"/>
        </w:rPr>
        <w:t>对2007年以来政府供地的工业用地项目，按照项目投资协议、项目投资计划书或承诺函等内容，梳理项目约定投入产出和支持事项，按照“有约定、无约定”等情况进行分类，以地块为单位核定项目履约情况，并将长期以来未履行主体责任、未实际生产经营、未达到开发强度、自用率低、产出率低等项目列入“重点关注项目名单”。</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eastAsia"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——督促强化项目履约主体责任。</w:t>
      </w:r>
      <w:r>
        <w:rPr>
          <w:rStyle w:val="7"/>
          <w:rFonts w:hint="eastAsia" w:ascii="仿宋_GB2312" w:hAnsi="仿宋_GB2312" w:eastAsia="仿宋_GB2312" w:cs="仿宋_GB2312"/>
          <w:sz w:val="32"/>
          <w:szCs w:val="32"/>
          <w:highlight w:val="none"/>
          <w:u w:val="none"/>
          <w:lang w:val="en-US" w:eastAsia="zh-CN"/>
        </w:rPr>
        <w:t>针对项目履约情况，每年度通过正式文件形式，向全区各相关部门和镇街、各项目发出通告，强调项目土地使用权人履约的主体责任；对协议有约定产出要求但未达到约定土地产出率指标值50%的项目，无明确约定产出要求但最近三年统计年度内的土地产出率均值低于《广州市工业用地指南（2018年版）》中工业项目土地产出率指标值50%的项目，以及列入“重点关注项目名单”的项目，提出明确的整改要求和处理意见，并督促推动执行。</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b w:val="0"/>
          <w:bCs w:val="0"/>
          <w:sz w:val="32"/>
          <w:szCs w:val="32"/>
          <w:highlight w:val="none"/>
          <w:u w:val="none"/>
          <w:lang w:val="en" w:eastAsia="zh-CN"/>
        </w:rPr>
      </w:pPr>
      <w:r>
        <w:rPr>
          <w:rStyle w:val="7"/>
          <w:rFonts w:hint="eastAsia" w:ascii="仿宋_GB2312" w:hAnsi="仿宋_GB2312" w:eastAsia="仿宋_GB2312" w:cs="仿宋_GB2312"/>
          <w:b/>
          <w:bCs/>
          <w:sz w:val="32"/>
          <w:szCs w:val="32"/>
          <w:highlight w:val="none"/>
          <w:u w:val="none"/>
          <w:lang w:val="en-US" w:eastAsia="zh-CN"/>
        </w:rPr>
        <w:t>——常态化合力监管。</w:t>
      </w:r>
      <w:r>
        <w:rPr>
          <w:rStyle w:val="7"/>
          <w:rFonts w:hint="eastAsia" w:ascii="仿宋_GB2312" w:hAnsi="仿宋_GB2312" w:eastAsia="仿宋_GB2312" w:cs="仿宋_GB2312"/>
          <w:sz w:val="32"/>
          <w:szCs w:val="32"/>
          <w:highlight w:val="none"/>
          <w:u w:val="none"/>
          <w:lang w:val="en-US" w:eastAsia="zh-CN"/>
        </w:rPr>
        <w:t>在评估项目履约情况时可多方面考虑项目综合贡献和客观实际情况，对当年在产值、税收、科技创新等方面做出超约定贡献，以及因疫情影响、政策变化、行业整体不景气等客观原因导致履约情况不理想，由企业提出申请，并经区行业主管部门核实认可的，可调低当年监管要求。</w:t>
      </w:r>
      <w:r>
        <w:rPr>
          <w:rStyle w:val="7"/>
          <w:rFonts w:hint="eastAsia" w:ascii="仿宋_GB2312" w:hAnsi="仿宋_GB2312" w:eastAsia="仿宋_GB2312" w:cs="仿宋_GB2312"/>
          <w:b w:val="0"/>
          <w:bCs w:val="0"/>
          <w:sz w:val="32"/>
          <w:szCs w:val="32"/>
          <w:highlight w:val="none"/>
          <w:u w:val="none"/>
          <w:lang w:val="en" w:eastAsia="zh-CN"/>
        </w:rPr>
        <w:t>成立政府供地项目履约评估监管工作小组，</w:t>
      </w:r>
      <w:r>
        <w:rPr>
          <w:rFonts w:hint="eastAsia" w:ascii="仿宋_GB2312" w:hAnsi="仿宋" w:eastAsia="仿宋_GB2312"/>
          <w:color w:val="000000" w:themeColor="text1"/>
          <w:spacing w:val="0"/>
          <w:sz w:val="32"/>
          <w:szCs w:val="32"/>
          <w:highlight w:val="none"/>
          <w:lang w:val="en-US" w:eastAsia="zh-CN"/>
          <w14:textFill>
            <w14:solidFill>
              <w14:schemeClr w14:val="tx1"/>
            </w14:solidFill>
          </w14:textFill>
        </w:rPr>
        <w:t>对未在规定限期内完成整改或接受处理的项目，没有协议约定的由工作小组将项目纳入低效用地范围，有协议约定的由工作小组将项目的综合情况报区政府，由区政府决议是否按照约定解除出让合同，无偿收回土地使用权；</w:t>
      </w:r>
      <w:r>
        <w:rPr>
          <w:rStyle w:val="7"/>
          <w:rFonts w:hint="eastAsia" w:ascii="仿宋_GB2312" w:hAnsi="仿宋_GB2312" w:eastAsia="仿宋_GB2312" w:cs="仿宋_GB2312"/>
          <w:sz w:val="32"/>
          <w:szCs w:val="32"/>
          <w:highlight w:val="none"/>
          <w:u w:val="none"/>
          <w:lang w:val="en-US" w:eastAsia="zh-CN"/>
        </w:rPr>
        <w:t>对列入“重点关注项目名单”的企业，不予享受</w:t>
      </w:r>
      <w:r>
        <w:rPr>
          <w:rStyle w:val="7"/>
          <w:rFonts w:hint="eastAsia" w:ascii="仿宋_GB2312" w:hAnsi="仿宋_GB2312" w:eastAsia="仿宋_GB2312" w:cs="仿宋_GB2312"/>
          <w:sz w:val="32"/>
          <w:szCs w:val="32"/>
          <w:highlight w:val="none"/>
          <w:u w:val="none"/>
          <w:lang w:val="en" w:eastAsia="zh-CN"/>
        </w:rPr>
        <w:t>区级扶持政策</w:t>
      </w:r>
      <w:r>
        <w:rPr>
          <w:rStyle w:val="7"/>
          <w:rFonts w:hint="eastAsia" w:ascii="仿宋_GB2312" w:hAnsi="仿宋_GB2312" w:eastAsia="仿宋_GB2312" w:cs="仿宋_GB2312"/>
          <w:b w:val="0"/>
          <w:bCs w:val="0"/>
          <w:sz w:val="32"/>
          <w:szCs w:val="32"/>
          <w:highlight w:val="none"/>
          <w:u w:val="none"/>
          <w:lang w:val="en" w:eastAsia="zh-CN"/>
        </w:rPr>
        <w:t>（涉及“</w:t>
      </w:r>
      <w:r>
        <w:rPr>
          <w:rFonts w:hint="eastAsia" w:ascii="仿宋_GB2312" w:eastAsia="仿宋_GB2312"/>
          <w:b w:val="0"/>
          <w:bCs w:val="0"/>
          <w:sz w:val="32"/>
          <w:szCs w:val="32"/>
          <w:highlight w:val="none"/>
          <w:lang w:val="en-US" w:eastAsia="zh-CN"/>
        </w:rPr>
        <w:t>一事一议”</w:t>
      </w:r>
      <w:r>
        <w:rPr>
          <w:rStyle w:val="7"/>
          <w:rFonts w:hint="eastAsia" w:ascii="仿宋_GB2312" w:hAnsi="仿宋_GB2312" w:eastAsia="仿宋_GB2312" w:cs="仿宋_GB2312"/>
          <w:b w:val="0"/>
          <w:bCs w:val="0"/>
          <w:sz w:val="32"/>
          <w:szCs w:val="32"/>
          <w:highlight w:val="none"/>
          <w:u w:val="none"/>
          <w:lang w:val="en-US" w:eastAsia="zh-CN"/>
        </w:rPr>
        <w:t>的企业，按约定兑现扶持政策</w:t>
      </w:r>
      <w:r>
        <w:rPr>
          <w:rStyle w:val="7"/>
          <w:rFonts w:hint="eastAsia" w:ascii="仿宋_GB2312" w:hAnsi="仿宋_GB2312" w:eastAsia="仿宋_GB2312" w:cs="仿宋_GB2312"/>
          <w:b w:val="0"/>
          <w:bCs w:val="0"/>
          <w:sz w:val="32"/>
          <w:szCs w:val="32"/>
          <w:highlight w:val="none"/>
          <w:u w:val="none"/>
          <w:lang w:val="en" w:eastAsia="zh-CN"/>
        </w:rPr>
        <w:t>），开展</w:t>
      </w:r>
      <w:r>
        <w:rPr>
          <w:rStyle w:val="7"/>
          <w:rFonts w:hint="eastAsia" w:ascii="仿宋_GB2312" w:hAnsi="仿宋_GB2312" w:eastAsia="仿宋_GB2312" w:cs="仿宋_GB2312"/>
          <w:sz w:val="32"/>
          <w:szCs w:val="32"/>
          <w:highlight w:val="none"/>
          <w:u w:val="none"/>
          <w:lang w:val="en" w:eastAsia="zh-CN"/>
        </w:rPr>
        <w:t>消防、供电等联合监管</w:t>
      </w:r>
      <w:r>
        <w:rPr>
          <w:rStyle w:val="7"/>
          <w:rFonts w:hint="eastAsia" w:ascii="仿宋_GB2312" w:hAnsi="仿宋_GB2312" w:eastAsia="仿宋_GB2312" w:cs="仿宋_GB2312"/>
          <w:sz w:val="32"/>
          <w:szCs w:val="32"/>
          <w:highlight w:val="none"/>
          <w:u w:val="none"/>
          <w:lang w:val="en-US" w:eastAsia="zh-CN"/>
        </w:rPr>
        <w:t>。</w:t>
      </w:r>
      <w:r>
        <w:rPr>
          <w:rStyle w:val="7"/>
          <w:rFonts w:hint="eastAsia" w:ascii="仿宋_GB2312" w:hAnsi="仿宋_GB2312" w:eastAsia="仿宋_GB2312" w:cs="仿宋_GB2312"/>
          <w:b w:val="0"/>
          <w:bCs w:val="0"/>
          <w:sz w:val="32"/>
          <w:szCs w:val="32"/>
          <w:highlight w:val="none"/>
          <w:u w:val="none"/>
          <w:lang w:val="en" w:eastAsia="zh-CN"/>
        </w:rPr>
        <w:t>严格执行项目协议约束条款，对违反协议约定未经同意转让项目公司股权或土地使用权的，可由相关职能部门依约定收回土地使用权或按约定采取其他限制措施。</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b w:val="0"/>
          <w:bCs w:val="0"/>
          <w:kern w:val="2"/>
          <w:sz w:val="32"/>
          <w:szCs w:val="32"/>
          <w:highlight w:val="none"/>
          <w:u w:val="none"/>
          <w:lang w:val="en" w:eastAsia="zh-CN" w:bidi="ar-SA"/>
        </w:rPr>
      </w:pPr>
      <w:r>
        <w:rPr>
          <w:rFonts w:hint="eastAsia" w:ascii="黑体" w:hAnsi="黑体" w:eastAsia="黑体" w:cs="黑体"/>
          <w:b w:val="0"/>
          <w:bCs w:val="0"/>
          <w:kern w:val="2"/>
          <w:sz w:val="32"/>
          <w:szCs w:val="32"/>
          <w:highlight w:val="none"/>
          <w:u w:val="none"/>
          <w:lang w:val="en-US" w:eastAsia="zh-CN" w:bidi="ar-SA"/>
        </w:rPr>
        <w:t>三、推动</w:t>
      </w:r>
      <w:r>
        <w:rPr>
          <w:rFonts w:hint="eastAsia" w:ascii="黑体" w:hAnsi="黑体" w:eastAsia="黑体" w:cs="黑体"/>
          <w:b w:val="0"/>
          <w:bCs w:val="0"/>
          <w:kern w:val="2"/>
          <w:sz w:val="32"/>
          <w:szCs w:val="32"/>
          <w:highlight w:val="none"/>
          <w:u w:val="none"/>
          <w:lang w:val="en" w:eastAsia="zh-CN" w:bidi="ar-SA"/>
        </w:rPr>
        <w:t>改造</w:t>
      </w:r>
      <w:r>
        <w:rPr>
          <w:rFonts w:hint="eastAsia" w:ascii="黑体" w:hAnsi="黑体" w:eastAsia="黑体" w:cs="黑体"/>
          <w:sz w:val="32"/>
          <w:szCs w:val="32"/>
          <w:highlight w:val="none"/>
          <w:u w:val="none"/>
          <w:lang w:val="en" w:eastAsia="zh-CN"/>
        </w:rPr>
        <w:t>升级</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Fonts w:hint="eastAsia" w:ascii="楷体" w:hAnsi="楷体" w:eastAsia="楷体" w:cs="楷体"/>
          <w:b w:val="0"/>
          <w:bCs w:val="0"/>
          <w:kern w:val="2"/>
          <w:sz w:val="32"/>
          <w:szCs w:val="32"/>
          <w:highlight w:val="none"/>
          <w:u w:val="none"/>
          <w:lang w:val="en-US" w:eastAsia="zh-CN" w:bidi="ar-SA"/>
        </w:rPr>
      </w:pPr>
      <w:r>
        <w:rPr>
          <w:rFonts w:hint="eastAsia" w:ascii="楷体" w:hAnsi="楷体" w:eastAsia="楷体" w:cs="楷体"/>
          <w:b w:val="0"/>
          <w:bCs w:val="0"/>
          <w:kern w:val="2"/>
          <w:sz w:val="32"/>
          <w:szCs w:val="32"/>
          <w:highlight w:val="none"/>
          <w:u w:val="none"/>
          <w:lang w:val="en" w:eastAsia="zh-CN" w:bidi="ar-SA"/>
        </w:rPr>
        <w:t>（一）推动“工改工”试点示范</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sz w:val="32"/>
          <w:szCs w:val="32"/>
          <w:highlight w:val="none"/>
          <w:u w:val="none"/>
          <w:lang w:val="en" w:eastAsia="zh-CN"/>
        </w:rPr>
      </w:pPr>
      <w:r>
        <w:rPr>
          <w:rStyle w:val="7"/>
          <w:rFonts w:hint="eastAsia" w:ascii="仿宋_GB2312" w:hAnsi="仿宋_GB2312" w:eastAsia="仿宋_GB2312" w:cs="仿宋_GB2312"/>
          <w:b/>
          <w:bCs/>
          <w:sz w:val="32"/>
          <w:szCs w:val="32"/>
          <w:highlight w:val="none"/>
          <w:u w:val="none"/>
          <w:lang w:val="en-US" w:eastAsia="zh-CN"/>
        </w:rPr>
        <w:t>1.建立</w:t>
      </w:r>
      <w:r>
        <w:rPr>
          <w:rStyle w:val="7"/>
          <w:rFonts w:hint="eastAsia" w:ascii="仿宋_GB2312" w:hAnsi="仿宋_GB2312" w:eastAsia="仿宋_GB2312" w:cs="仿宋_GB2312"/>
          <w:b/>
          <w:bCs/>
          <w:sz w:val="32"/>
          <w:szCs w:val="32"/>
          <w:highlight w:val="none"/>
          <w:u w:val="none"/>
          <w:lang w:val="en" w:eastAsia="zh-CN"/>
        </w:rPr>
        <w:t>“工改工”试点项目推进模式。</w:t>
      </w:r>
      <w:r>
        <w:rPr>
          <w:rStyle w:val="7"/>
          <w:rFonts w:hint="eastAsia" w:ascii="仿宋_GB2312" w:hAnsi="仿宋_GB2312" w:eastAsia="仿宋_GB2312" w:cs="仿宋_GB2312"/>
          <w:sz w:val="32"/>
          <w:szCs w:val="32"/>
          <w:highlight w:val="none"/>
          <w:u w:val="none"/>
          <w:lang w:val="en-US" w:eastAsia="zh-CN"/>
        </w:rPr>
        <w:t>连片面积（含多宗用地合并）50亩以上</w:t>
      </w:r>
      <w:r>
        <w:rPr>
          <w:rStyle w:val="7"/>
          <w:rFonts w:hint="eastAsia" w:ascii="仿宋_GB2312" w:hAnsi="仿宋_GB2312" w:eastAsia="仿宋_GB2312" w:cs="仿宋_GB2312"/>
          <w:sz w:val="32"/>
          <w:szCs w:val="32"/>
          <w:highlight w:val="none"/>
          <w:u w:val="none"/>
          <w:lang w:val="en" w:eastAsia="zh-CN"/>
        </w:rPr>
        <w:t>存量工业用地开展</w:t>
      </w:r>
      <w:r>
        <w:rPr>
          <w:rStyle w:val="7"/>
          <w:rFonts w:hint="eastAsia" w:ascii="仿宋_GB2312" w:hAnsi="仿宋_GB2312" w:eastAsia="仿宋_GB2312" w:cs="仿宋_GB2312"/>
          <w:sz w:val="32"/>
          <w:szCs w:val="32"/>
          <w:highlight w:val="none"/>
          <w:u w:val="none"/>
          <w:lang w:val="en-US" w:eastAsia="zh-CN"/>
        </w:rPr>
        <w:t>“工改工”项目（含微改造项目，下同），或固定资产总投资（同一地块上各主体固定资产投资可合并计算）5亿元以上的“工改工”项目，按照“工改工”试点项目监管要求签订《项目投入产出监管协议》的，纳入增城区“工改工”试点项目。按照“带项目”实施“工改工”试点项目原则，加快</w:t>
      </w:r>
      <w:r>
        <w:rPr>
          <w:rStyle w:val="7"/>
          <w:rFonts w:hint="eastAsia" w:ascii="仿宋_GB2312" w:hAnsi="仿宋_GB2312" w:eastAsia="仿宋_GB2312" w:cs="仿宋_GB2312"/>
          <w:sz w:val="32"/>
          <w:szCs w:val="32"/>
          <w:highlight w:val="none"/>
          <w:u w:val="none"/>
          <w:lang w:val="en" w:eastAsia="zh-CN"/>
        </w:rPr>
        <w:t>储备一批招商项目参与存量工业用地</w:t>
      </w:r>
      <w:r>
        <w:rPr>
          <w:rStyle w:val="7"/>
          <w:rFonts w:hint="eastAsia" w:ascii="仿宋_GB2312" w:hAnsi="仿宋_GB2312" w:eastAsia="仿宋_GB2312" w:cs="仿宋_GB2312"/>
          <w:sz w:val="32"/>
          <w:szCs w:val="32"/>
          <w:highlight w:val="none"/>
          <w:u w:val="none"/>
          <w:lang w:val="en-US" w:eastAsia="zh-CN"/>
        </w:rPr>
        <w:t>“工改工”</w:t>
      </w:r>
      <w:r>
        <w:rPr>
          <w:rStyle w:val="7"/>
          <w:rFonts w:hint="eastAsia" w:ascii="仿宋_GB2312" w:hAnsi="仿宋_GB2312" w:eastAsia="仿宋_GB2312" w:cs="仿宋_GB2312"/>
          <w:sz w:val="32"/>
          <w:szCs w:val="32"/>
          <w:highlight w:val="none"/>
          <w:u w:val="none"/>
          <w:lang w:val="en" w:eastAsia="zh-CN"/>
        </w:rPr>
        <w:t>，通过“产业项目导入、推动合作开发、土地整备规划”的路径先行先试，探索并总结形成“工改工”试点项目推进模式。</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kern w:val="2"/>
          <w:sz w:val="32"/>
          <w:szCs w:val="32"/>
          <w:highlight w:val="none"/>
          <w:u w:val="none"/>
          <w:lang w:val="en-US" w:eastAsia="zh-CN" w:bidi="ar-SA"/>
        </w:rPr>
      </w:pPr>
      <w:r>
        <w:rPr>
          <w:rStyle w:val="7"/>
          <w:rFonts w:hint="eastAsia" w:ascii="仿宋_GB2312" w:hAnsi="仿宋_GB2312" w:eastAsia="仿宋_GB2312" w:cs="仿宋_GB2312"/>
          <w:b/>
          <w:bCs/>
          <w:sz w:val="32"/>
          <w:szCs w:val="32"/>
          <w:highlight w:val="none"/>
          <w:u w:val="none"/>
          <w:lang w:val="en-US" w:eastAsia="zh-CN"/>
        </w:rPr>
        <w:t>2.推动村镇工业集聚区提质增效。</w:t>
      </w:r>
      <w:r>
        <w:rPr>
          <w:rStyle w:val="7"/>
          <w:rFonts w:hint="eastAsia" w:ascii="仿宋_GB2312" w:hAnsi="仿宋_GB2312" w:eastAsia="仿宋_GB2312" w:cs="仿宋_GB2312"/>
          <w:kern w:val="2"/>
          <w:sz w:val="32"/>
          <w:szCs w:val="32"/>
          <w:highlight w:val="none"/>
          <w:u w:val="none"/>
          <w:lang w:val="en-US" w:eastAsia="zh-CN" w:bidi="ar-SA"/>
        </w:rPr>
        <w:t>充分用好《广东省村镇工业集聚区升级改造攻坚战三年行动方案（2021—2023年）》等省市相关政策，按照广州市村镇工业集聚区更新改造试点项目条件要求，推进一批区位较好、规划符合性较好的村镇工业集聚区先行先试开展“工改工”并申请纳入广州市试点项目，加大招商引资力度，强化产业项目导入，确保改造持续动力和改造经济效益。</w:t>
      </w:r>
    </w:p>
    <w:p>
      <w:pPr>
        <w:keepNext w:val="0"/>
        <w:keepLines w:val="0"/>
        <w:pageBreakBefore w:val="0"/>
        <w:widowControl w:val="0"/>
        <w:kinsoku/>
        <w:wordWrap/>
        <w:overflowPunct/>
        <w:topLinePunct w:val="0"/>
        <w:autoSpaceDE/>
        <w:autoSpaceDN/>
        <w:bidi w:val="0"/>
        <w:snapToGrid w:val="0"/>
        <w:spacing w:line="570" w:lineRule="exact"/>
        <w:ind w:firstLine="642" w:firstLineChars="200"/>
        <w:rPr>
          <w:rStyle w:val="7"/>
          <w:rFonts w:hint="eastAsia" w:ascii="仿宋_GB2312" w:hAnsi="仿宋_GB2312" w:eastAsia="仿宋_GB2312" w:cs="仿宋_GB2312"/>
          <w:kern w:val="2"/>
          <w:sz w:val="32"/>
          <w:szCs w:val="32"/>
          <w:highlight w:val="none"/>
          <w:u w:val="none"/>
          <w:lang w:val="en-US" w:eastAsia="zh-CN" w:bidi="ar-SA"/>
        </w:rPr>
      </w:pPr>
      <w:r>
        <w:rPr>
          <w:rStyle w:val="7"/>
          <w:rFonts w:hint="eastAsia" w:ascii="仿宋_GB2312" w:hAnsi="仿宋_GB2312" w:eastAsia="仿宋_GB2312" w:cs="仿宋_GB2312"/>
          <w:b/>
          <w:bCs/>
          <w:sz w:val="32"/>
          <w:szCs w:val="32"/>
          <w:highlight w:val="none"/>
          <w:u w:val="none"/>
          <w:lang w:val="en-US" w:eastAsia="zh-CN"/>
        </w:rPr>
        <w:t>3.</w:t>
      </w:r>
      <w:r>
        <w:rPr>
          <w:rStyle w:val="7"/>
          <w:rFonts w:hint="eastAsia" w:ascii="仿宋_GB2312" w:hAnsi="仿宋_GB2312" w:eastAsia="仿宋_GB2312" w:cs="仿宋_GB2312"/>
          <w:b/>
          <w:bCs/>
          <w:sz w:val="32"/>
          <w:szCs w:val="32"/>
          <w:highlight w:val="none"/>
          <w:u w:val="none"/>
          <w:lang w:eastAsia="zh-CN"/>
        </w:rPr>
        <w:t>做好</w:t>
      </w:r>
      <w:r>
        <w:rPr>
          <w:rStyle w:val="7"/>
          <w:rFonts w:hint="eastAsia" w:ascii="仿宋_GB2312" w:hAnsi="仿宋_GB2312" w:eastAsia="仿宋_GB2312" w:cs="仿宋_GB2312"/>
          <w:b/>
          <w:bCs/>
          <w:sz w:val="32"/>
          <w:szCs w:val="32"/>
          <w:highlight w:val="none"/>
          <w:u w:val="none"/>
          <w:lang w:val="en-US" w:eastAsia="zh-CN"/>
        </w:rPr>
        <w:t>基础</w:t>
      </w:r>
      <w:r>
        <w:rPr>
          <w:rStyle w:val="7"/>
          <w:rFonts w:hint="default" w:ascii="仿宋_GB2312" w:hAnsi="仿宋_GB2312" w:eastAsia="仿宋_GB2312" w:cs="仿宋_GB2312"/>
          <w:b/>
          <w:bCs/>
          <w:sz w:val="32"/>
          <w:szCs w:val="32"/>
          <w:highlight w:val="none"/>
          <w:u w:val="none"/>
          <w:lang w:eastAsia="zh-CN"/>
        </w:rPr>
        <w:t>设施</w:t>
      </w:r>
      <w:r>
        <w:rPr>
          <w:rStyle w:val="7"/>
          <w:rFonts w:hint="eastAsia" w:ascii="仿宋_GB2312" w:hAnsi="仿宋_GB2312" w:eastAsia="仿宋_GB2312" w:cs="仿宋_GB2312"/>
          <w:b/>
          <w:bCs/>
          <w:sz w:val="32"/>
          <w:szCs w:val="32"/>
          <w:highlight w:val="none"/>
          <w:u w:val="none"/>
          <w:lang w:val="en-US" w:eastAsia="zh-CN"/>
        </w:rPr>
        <w:t>配套建设</w:t>
      </w:r>
      <w:r>
        <w:rPr>
          <w:rStyle w:val="7"/>
          <w:rFonts w:hint="eastAsia" w:ascii="仿宋_GB2312" w:hAnsi="仿宋_GB2312" w:eastAsia="仿宋_GB2312" w:cs="仿宋_GB2312"/>
          <w:b/>
          <w:bCs/>
          <w:sz w:val="32"/>
          <w:szCs w:val="32"/>
          <w:highlight w:val="none"/>
          <w:u w:val="none"/>
          <w:lang w:eastAsia="zh-CN"/>
        </w:rPr>
        <w:t>和招商</w:t>
      </w:r>
      <w:r>
        <w:rPr>
          <w:rStyle w:val="7"/>
          <w:rFonts w:hint="eastAsia" w:ascii="仿宋_GB2312" w:hAnsi="仿宋_GB2312" w:eastAsia="仿宋_GB2312" w:cs="仿宋_GB2312"/>
          <w:b/>
          <w:bCs/>
          <w:sz w:val="32"/>
          <w:szCs w:val="32"/>
          <w:highlight w:val="none"/>
          <w:u w:val="none"/>
          <w:lang w:val="en-US" w:eastAsia="zh-CN"/>
        </w:rPr>
        <w:t>服务工作。</w:t>
      </w:r>
      <w:r>
        <w:rPr>
          <w:rStyle w:val="7"/>
          <w:rFonts w:hint="eastAsia" w:ascii="仿宋_GB2312" w:hAnsi="仿宋_GB2312" w:eastAsia="仿宋_GB2312" w:cs="仿宋_GB2312"/>
          <w:kern w:val="2"/>
          <w:sz w:val="32"/>
          <w:szCs w:val="32"/>
          <w:highlight w:val="none"/>
          <w:u w:val="none"/>
          <w:lang w:val="en-US" w:eastAsia="zh-CN" w:bidi="ar-SA"/>
        </w:rPr>
        <w:t>加强“工改工”试点项目与城市基础设施的对接，同步开展项目周边市政道路、水电管网建设，完善项目周边居住、商业等生活服务配套，促进产城融合发展。做好人才、科技、招商等政策宣传和配套工作，大力支持“工改工”试点项目招商。</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Style w:val="7"/>
          <w:rFonts w:hint="eastAsia" w:ascii="仿宋_GB2312" w:hAnsi="仿宋_GB2312" w:eastAsia="仿宋_GB2312" w:cs="仿宋_GB2312"/>
          <w:b/>
          <w:bCs/>
          <w:sz w:val="32"/>
          <w:szCs w:val="32"/>
          <w:highlight w:val="none"/>
          <w:u w:val="none"/>
          <w:lang w:val="en-US" w:eastAsia="zh-CN"/>
        </w:rPr>
      </w:pPr>
      <w:r>
        <w:rPr>
          <w:rFonts w:hint="eastAsia" w:ascii="楷体" w:hAnsi="楷体" w:eastAsia="楷体" w:cs="楷体"/>
          <w:b w:val="0"/>
          <w:bCs w:val="0"/>
          <w:kern w:val="2"/>
          <w:sz w:val="32"/>
          <w:szCs w:val="32"/>
          <w:highlight w:val="none"/>
          <w:u w:val="none"/>
          <w:lang w:val="en-US" w:eastAsia="zh-CN" w:bidi="ar-SA"/>
        </w:rPr>
        <w:t>（二）</w:t>
      </w:r>
      <w:r>
        <w:rPr>
          <w:rFonts w:hint="eastAsia" w:ascii="楷体" w:hAnsi="楷体" w:eastAsia="楷体" w:cs="楷体"/>
          <w:b w:val="0"/>
          <w:bCs w:val="0"/>
          <w:kern w:val="2"/>
          <w:sz w:val="32"/>
          <w:szCs w:val="32"/>
          <w:highlight w:val="none"/>
          <w:u w:val="none"/>
          <w:lang w:val="en" w:eastAsia="zh-CN" w:bidi="ar-SA"/>
        </w:rPr>
        <w:t>加强“工改工”产业监管</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default"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1.</w:t>
      </w:r>
      <w:r>
        <w:rPr>
          <w:rStyle w:val="7"/>
          <w:rFonts w:hint="eastAsia" w:ascii="仿宋_GB2312" w:hAnsi="仿宋_GB2312" w:eastAsia="仿宋_GB2312" w:cs="仿宋_GB2312"/>
          <w:b/>
          <w:bCs/>
          <w:sz w:val="32"/>
          <w:szCs w:val="32"/>
          <w:highlight w:val="none"/>
          <w:u w:val="none"/>
          <w:lang w:val="en" w:eastAsia="zh-CN"/>
        </w:rPr>
        <w:t>明确“工改工”产业发展导向。</w:t>
      </w:r>
      <w:r>
        <w:rPr>
          <w:rStyle w:val="7"/>
          <w:rFonts w:hint="eastAsia" w:ascii="仿宋_GB2312" w:hAnsi="仿宋_GB2312" w:eastAsia="仿宋_GB2312" w:cs="仿宋_GB2312"/>
          <w:sz w:val="32"/>
          <w:szCs w:val="32"/>
          <w:highlight w:val="none"/>
          <w:u w:val="none"/>
          <w:lang w:val="en-US" w:eastAsia="zh-CN"/>
        </w:rPr>
        <w:t>存量工业用地“工改工”项目，必须符合《当前国家重点鼓励发展的产业、产品和技术目录》《产业结构调整指导目录》《外商投资产业指导目录》等国家有关产业政策以及省、市、区相关产业政策</w:t>
      </w:r>
      <w:r>
        <w:rPr>
          <w:rStyle w:val="7"/>
          <w:rFonts w:hint="default" w:ascii="仿宋_GB2312" w:hAnsi="仿宋_GB2312" w:eastAsia="仿宋_GB2312" w:cs="仿宋_GB2312"/>
          <w:sz w:val="32"/>
          <w:szCs w:val="32"/>
          <w:highlight w:val="none"/>
          <w:u w:val="none"/>
          <w:lang w:eastAsia="zh-CN"/>
        </w:rPr>
        <w:t>，</w:t>
      </w:r>
      <w:r>
        <w:rPr>
          <w:rStyle w:val="7"/>
          <w:rFonts w:hint="eastAsia" w:ascii="仿宋_GB2312" w:hAnsi="仿宋_GB2312" w:eastAsia="仿宋_GB2312" w:cs="仿宋_GB2312"/>
          <w:sz w:val="32"/>
          <w:szCs w:val="32"/>
          <w:highlight w:val="none"/>
          <w:u w:val="none"/>
          <w:lang w:val="en-US" w:eastAsia="zh-CN"/>
        </w:rPr>
        <w:t>重点发展汽车及新能源汽车、新一代信息技术、集成电路、智能家居、食品饮料、生物医药等主导产业。</w:t>
      </w:r>
    </w:p>
    <w:p>
      <w:pPr>
        <w:keepNext w:val="0"/>
        <w:keepLines w:val="0"/>
        <w:pageBreakBefore w:val="0"/>
        <w:widowControl w:val="0"/>
        <w:kinsoku/>
        <w:wordWrap/>
        <w:overflowPunct/>
        <w:topLinePunct w:val="0"/>
        <w:autoSpaceDE/>
        <w:autoSpaceDN/>
        <w:bidi w:val="0"/>
        <w:adjustRightInd w:val="0"/>
        <w:snapToGrid w:val="0"/>
        <w:spacing w:line="570" w:lineRule="exact"/>
        <w:ind w:firstLine="642" w:firstLineChars="200"/>
        <w:textAlignment w:val="baseline"/>
        <w:rPr>
          <w:rStyle w:val="7"/>
          <w:rFonts w:hint="eastAsia"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2.加强“工改工”产业监管审查。</w:t>
      </w:r>
      <w:r>
        <w:rPr>
          <w:rStyle w:val="7"/>
          <w:rFonts w:hint="eastAsia" w:ascii="仿宋_GB2312" w:hAnsi="仿宋_GB2312" w:eastAsia="仿宋_GB2312" w:cs="仿宋_GB2312"/>
          <w:sz w:val="32"/>
          <w:szCs w:val="32"/>
          <w:highlight w:val="none"/>
          <w:u w:val="none"/>
          <w:lang w:val="en-US" w:eastAsia="zh-CN"/>
        </w:rPr>
        <w:t>存量工业用地“工改工”项目以土地使用权人、用地主体、运营主体为监管对象；“工改工”项目在建筑工程设计方案审查阶段，申请加建、扩建、改建，提高容积率的，需由属地镇街对项目产业导向、预期产出效益进行审查， 并征求区行业主管部门意见；</w:t>
      </w:r>
      <w:r>
        <w:rPr>
          <w:rStyle w:val="7"/>
          <w:rFonts w:hint="eastAsia" w:ascii="仿宋_GB2312" w:hAnsi="仿宋_GB2312" w:eastAsia="仿宋_GB2312" w:cs="仿宋_GB2312"/>
          <w:sz w:val="32"/>
          <w:szCs w:val="32"/>
          <w:highlight w:val="none"/>
          <w:u w:val="none"/>
          <w:lang w:val="en" w:eastAsia="zh-CN"/>
        </w:rPr>
        <w:t>审查通过的，</w:t>
      </w:r>
      <w:r>
        <w:rPr>
          <w:rStyle w:val="7"/>
          <w:rFonts w:hint="eastAsia" w:ascii="仿宋_GB2312" w:hAnsi="仿宋_GB2312" w:eastAsia="仿宋_GB2312" w:cs="仿宋_GB2312"/>
          <w:sz w:val="32"/>
          <w:szCs w:val="32"/>
          <w:highlight w:val="none"/>
          <w:u w:val="none"/>
          <w:lang w:val="en-US" w:eastAsia="zh-CN"/>
        </w:rPr>
        <w:t>由属地镇街、监管对象签订《项目投入产出监管协议》，报区行业主管部门、区规划和自然资源分局、开发区企业服务局备份。按照“容缺办理、事后补齐”原则，对项目所涉审批事项实行并联申办，项目可同步向属地镇街、各业务部门提交各项审批事项申办材料。“工改工”项目招商引进企业原则上须接受区招商部门的指导和属地镇街的监督。</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eastAsia"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3.明确“工改工”产业监管要求。</w:t>
      </w:r>
      <w:r>
        <w:rPr>
          <w:rStyle w:val="7"/>
          <w:rFonts w:hint="eastAsia" w:ascii="仿宋_GB2312" w:hAnsi="仿宋_GB2312" w:eastAsia="仿宋_GB2312" w:cs="仿宋_GB2312"/>
          <w:sz w:val="32"/>
          <w:szCs w:val="32"/>
          <w:highlight w:val="none"/>
          <w:u w:val="none"/>
          <w:lang w:val="en-US" w:eastAsia="zh-CN"/>
        </w:rPr>
        <w:t>属于</w:t>
      </w:r>
      <w:r>
        <w:rPr>
          <w:rStyle w:val="7"/>
          <w:rFonts w:hint="eastAsia" w:ascii="仿宋_GB2312" w:hAnsi="仿宋_GB2312" w:eastAsia="仿宋_GB2312" w:cs="仿宋_GB2312"/>
          <w:sz w:val="32"/>
          <w:szCs w:val="32"/>
          <w:highlight w:val="none"/>
          <w:u w:val="none"/>
          <w:lang w:val="en" w:eastAsia="zh-CN"/>
        </w:rPr>
        <w:t>“工改工”试点项目的，原则上</w:t>
      </w:r>
      <w:r>
        <w:rPr>
          <w:rStyle w:val="7"/>
          <w:rFonts w:hint="eastAsia" w:ascii="仿宋_GB2312" w:hAnsi="仿宋_GB2312" w:eastAsia="仿宋_GB2312" w:cs="仿宋_GB2312"/>
          <w:sz w:val="32"/>
          <w:szCs w:val="32"/>
          <w:highlight w:val="none"/>
          <w:u w:val="none"/>
          <w:lang w:val="en-US" w:eastAsia="zh-CN"/>
        </w:rPr>
        <w:t>亩均税收要求位于开发区核心区的不低于50万元/亩、开发区一区多园的不低于40万元/亩、其他镇街的不低于30万元/亩。其他“工改工”项目，</w:t>
      </w:r>
      <w:r>
        <w:rPr>
          <w:rStyle w:val="7"/>
          <w:rFonts w:hint="eastAsia" w:ascii="仿宋_GB2312" w:hAnsi="仿宋_GB2312" w:eastAsia="仿宋_GB2312" w:cs="仿宋_GB2312"/>
          <w:sz w:val="32"/>
          <w:szCs w:val="32"/>
          <w:highlight w:val="none"/>
          <w:u w:val="none"/>
          <w:lang w:val="en" w:eastAsia="zh-CN"/>
        </w:rPr>
        <w:t>原则上</w:t>
      </w:r>
      <w:r>
        <w:rPr>
          <w:rStyle w:val="7"/>
          <w:rFonts w:hint="eastAsia" w:ascii="仿宋_GB2312" w:hAnsi="仿宋_GB2312" w:eastAsia="仿宋_GB2312" w:cs="仿宋_GB2312"/>
          <w:sz w:val="32"/>
          <w:szCs w:val="32"/>
          <w:highlight w:val="none"/>
          <w:u w:val="none"/>
          <w:lang w:val="en-US" w:eastAsia="zh-CN"/>
        </w:rPr>
        <w:t>亩均税收要求位于开发区核心区的不低于40万元/亩、开发区一区多园的不低于30万元/亩、其他镇街的不低于20万元/亩。另有项目协议约定监管要求的，按协议约定执行；另有专项产业政策确定专项监管要求的，按专项产业政策执行。</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eastAsia" w:ascii="仿宋_GB2312" w:hAnsi="仿宋_GB2312" w:eastAsia="仿宋_GB2312" w:cs="仿宋_GB2312"/>
          <w:b w:val="0"/>
          <w:bCs w:val="0"/>
          <w:sz w:val="32"/>
          <w:szCs w:val="32"/>
          <w:highlight w:val="none"/>
          <w:u w:val="none"/>
          <w:lang w:val="en-US" w:eastAsia="zh-CN"/>
        </w:rPr>
      </w:pPr>
      <w:r>
        <w:rPr>
          <w:rStyle w:val="7"/>
          <w:rFonts w:hint="eastAsia" w:ascii="仿宋_GB2312" w:hAnsi="仿宋_GB2312" w:eastAsia="仿宋_GB2312" w:cs="仿宋_GB2312"/>
          <w:b/>
          <w:bCs/>
          <w:sz w:val="32"/>
          <w:szCs w:val="32"/>
          <w:highlight w:val="none"/>
          <w:u w:val="none"/>
          <w:lang w:val="en-US" w:eastAsia="zh-CN"/>
        </w:rPr>
        <w:t>4.开展“工改工”履约评估监管。</w:t>
      </w:r>
      <w:r>
        <w:rPr>
          <w:rStyle w:val="7"/>
          <w:rFonts w:hint="eastAsia" w:ascii="仿宋_GB2312" w:hAnsi="仿宋_GB2312" w:eastAsia="仿宋_GB2312" w:cs="仿宋_GB2312"/>
          <w:sz w:val="32"/>
          <w:szCs w:val="32"/>
          <w:highlight w:val="none"/>
          <w:u w:val="none"/>
          <w:lang w:val="en" w:eastAsia="zh-CN"/>
        </w:rPr>
        <w:t>参照《广州市工业用地产业监管工作指引》，</w:t>
      </w:r>
      <w:r>
        <w:rPr>
          <w:rStyle w:val="7"/>
          <w:rFonts w:hint="eastAsia" w:ascii="仿宋_GB2312" w:hAnsi="仿宋_GB2312" w:eastAsia="仿宋_GB2312" w:cs="仿宋_GB2312"/>
          <w:b w:val="0"/>
          <w:bCs w:val="0"/>
          <w:sz w:val="32"/>
          <w:szCs w:val="32"/>
          <w:highlight w:val="none"/>
          <w:u w:val="none"/>
          <w:lang w:val="en" w:eastAsia="zh-CN"/>
        </w:rPr>
        <w:t>成立区“工改工”项目履约评估监管工作小组，开展存量工业用地“工改工”项目的履约情况评估工作，履约情况评估时可</w:t>
      </w:r>
      <w:r>
        <w:rPr>
          <w:rStyle w:val="7"/>
          <w:rFonts w:hint="eastAsia" w:ascii="仿宋_GB2312" w:hAnsi="仿宋_GB2312" w:eastAsia="仿宋_GB2312" w:cs="仿宋_GB2312"/>
          <w:b w:val="0"/>
          <w:bCs w:val="0"/>
          <w:sz w:val="32"/>
          <w:szCs w:val="32"/>
          <w:highlight w:val="none"/>
          <w:u w:val="none"/>
          <w:lang w:val="en-US" w:eastAsia="zh-CN"/>
        </w:rPr>
        <w:t>多方面考虑项目综合贡献和客观实际情况，由企业提出申请，并经区行业主管部门核实后，适当调低当年监管要求；</w:t>
      </w:r>
      <w:r>
        <w:rPr>
          <w:rStyle w:val="7"/>
          <w:rFonts w:hint="eastAsia" w:ascii="仿宋_GB2312" w:hAnsi="仿宋_GB2312" w:eastAsia="仿宋_GB2312" w:cs="仿宋_GB2312"/>
          <w:b w:val="0"/>
          <w:bCs w:val="0"/>
          <w:sz w:val="32"/>
          <w:szCs w:val="32"/>
          <w:highlight w:val="none"/>
          <w:u w:val="none"/>
          <w:lang w:val="en" w:eastAsia="zh-CN"/>
        </w:rPr>
        <w:t>对监管评估结果未达到《项目投入产出监管协议》及产业监管要求的，参照《广州市工业用地产业监管工作指引》相关规定及《项目投入产出监管协议》的相关约定，由区“工改工”项目履约评估监管工作小组</w:t>
      </w:r>
      <w:r>
        <w:rPr>
          <w:rStyle w:val="7"/>
          <w:rFonts w:hint="eastAsia" w:ascii="仿宋_GB2312" w:hAnsi="仿宋_GB2312" w:eastAsia="仿宋_GB2312" w:cs="仿宋_GB2312"/>
          <w:sz w:val="32"/>
          <w:szCs w:val="32"/>
          <w:highlight w:val="none"/>
          <w:u w:val="none"/>
          <w:lang w:val="en" w:eastAsia="zh-CN"/>
        </w:rPr>
        <w:t>各成员单位按职能</w:t>
      </w:r>
      <w:r>
        <w:rPr>
          <w:rStyle w:val="7"/>
          <w:rFonts w:hint="eastAsia" w:ascii="仿宋_GB2312" w:hAnsi="仿宋_GB2312" w:eastAsia="仿宋_GB2312" w:cs="仿宋_GB2312"/>
          <w:b w:val="0"/>
          <w:bCs w:val="0"/>
          <w:sz w:val="32"/>
          <w:szCs w:val="32"/>
          <w:highlight w:val="none"/>
          <w:u w:val="none"/>
          <w:lang w:val="en" w:eastAsia="zh-CN"/>
        </w:rPr>
        <w:t>执行</w:t>
      </w:r>
      <w:r>
        <w:rPr>
          <w:rStyle w:val="7"/>
          <w:rFonts w:hint="eastAsia" w:ascii="仿宋_GB2312" w:hAnsi="仿宋_GB2312" w:eastAsia="仿宋_GB2312" w:cs="仿宋_GB2312"/>
          <w:b w:val="0"/>
          <w:bCs w:val="0"/>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Fonts w:hint="eastAsia" w:ascii="黑体" w:hAnsi="黑体" w:eastAsia="黑体" w:cs="黑体"/>
          <w:sz w:val="32"/>
          <w:szCs w:val="32"/>
          <w:highlight w:val="none"/>
          <w:u w:val="none"/>
          <w:lang w:val="en-US" w:eastAsia="zh-CN"/>
        </w:rPr>
      </w:pPr>
      <w:r>
        <w:rPr>
          <w:rFonts w:hint="eastAsia" w:ascii="黑体" w:hAnsi="黑体" w:eastAsia="黑体" w:cs="黑体"/>
          <w:sz w:val="32"/>
          <w:szCs w:val="32"/>
          <w:highlight w:val="none"/>
          <w:u w:val="none"/>
          <w:lang w:val="en-US" w:eastAsia="zh-CN"/>
        </w:rPr>
        <w:t>四、支持政策</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Fonts w:hint="default" w:ascii="楷体" w:hAnsi="楷体" w:eastAsia="楷体" w:cs="楷体"/>
          <w:b w:val="0"/>
          <w:bCs w:val="0"/>
          <w:kern w:val="2"/>
          <w:sz w:val="32"/>
          <w:szCs w:val="32"/>
          <w:highlight w:val="none"/>
          <w:u w:val="none"/>
          <w:lang w:val="en" w:eastAsia="zh-CN" w:bidi="ar-SA"/>
        </w:rPr>
      </w:pPr>
      <w:r>
        <w:rPr>
          <w:rFonts w:hint="eastAsia" w:ascii="楷体" w:hAnsi="楷体" w:eastAsia="楷体" w:cs="楷体"/>
          <w:b w:val="0"/>
          <w:bCs w:val="0"/>
          <w:kern w:val="2"/>
          <w:sz w:val="32"/>
          <w:szCs w:val="32"/>
          <w:highlight w:val="none"/>
          <w:u w:val="none"/>
          <w:lang w:val="en-US" w:eastAsia="zh-CN" w:bidi="ar-SA"/>
        </w:rPr>
        <w:t>（一）</w:t>
      </w:r>
      <w:r>
        <w:rPr>
          <w:rFonts w:hint="eastAsia" w:ascii="楷体" w:hAnsi="楷体" w:eastAsia="楷体" w:cs="楷体"/>
          <w:b w:val="0"/>
          <w:bCs w:val="0"/>
          <w:kern w:val="2"/>
          <w:sz w:val="32"/>
          <w:szCs w:val="32"/>
          <w:highlight w:val="none"/>
          <w:u w:val="none"/>
          <w:lang w:val="en" w:eastAsia="zh-CN" w:bidi="ar-SA"/>
        </w:rPr>
        <w:t>“工改工”试点项目用地政策</w:t>
      </w:r>
    </w:p>
    <w:p>
      <w:pPr>
        <w:pStyle w:val="9"/>
        <w:keepNext w:val="0"/>
        <w:keepLines w:val="0"/>
        <w:pageBreakBefore w:val="0"/>
        <w:widowControl w:val="0"/>
        <w:kinsoku/>
        <w:wordWrap/>
        <w:overflowPunct/>
        <w:topLinePunct w:val="0"/>
        <w:autoSpaceDE/>
        <w:autoSpaceDN/>
        <w:bidi w:val="0"/>
        <w:snapToGrid w:val="0"/>
        <w:spacing w:line="570" w:lineRule="exact"/>
        <w:rPr>
          <w:rStyle w:val="7"/>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b/>
          <w:bCs/>
          <w:color w:val="auto"/>
          <w:kern w:val="2"/>
          <w:sz w:val="32"/>
          <w:szCs w:val="32"/>
          <w:highlight w:val="none"/>
          <w:u w:val="none"/>
          <w:lang w:val="en-US" w:eastAsia="zh-CN" w:bidi="ar-SA"/>
        </w:rPr>
        <w:t>1.提高容积率。</w:t>
      </w:r>
      <w:r>
        <w:rPr>
          <w:rStyle w:val="7"/>
          <w:rFonts w:hint="eastAsia" w:ascii="仿宋_GB2312" w:hAnsi="仿宋_GB2312" w:eastAsia="仿宋_GB2312" w:cs="仿宋_GB2312"/>
          <w:kern w:val="2"/>
          <w:sz w:val="32"/>
          <w:szCs w:val="32"/>
          <w:highlight w:val="none"/>
          <w:u w:val="none"/>
          <w:lang w:val="en-US" w:eastAsia="zh-CN" w:bidi="ar-SA"/>
        </w:rPr>
        <w:t>存量普通工业用地在符合国土空间规划及区域产业发展政策、不改变土地用途的前提下，经批准在原用地范围内新建、改建、扩建工业项目，增加的建筑面积不再补缴土地出让价款。</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570" w:lineRule="exact"/>
        <w:ind w:firstLine="642" w:firstLineChars="200"/>
        <w:textAlignment w:val="auto"/>
        <w:rPr>
          <w:rStyle w:val="7"/>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b/>
          <w:bCs/>
          <w:color w:val="auto"/>
          <w:kern w:val="2"/>
          <w:sz w:val="32"/>
          <w:szCs w:val="32"/>
          <w:highlight w:val="none"/>
          <w:u w:val="none"/>
          <w:lang w:val="en-US" w:eastAsia="zh-CN" w:bidi="ar-SA"/>
        </w:rPr>
        <w:t>2.厂房分割转让。</w:t>
      </w:r>
      <w:r>
        <w:rPr>
          <w:rStyle w:val="7"/>
          <w:rFonts w:hint="eastAsia" w:ascii="仿宋_GB2312" w:hAnsi="仿宋_GB2312" w:eastAsia="仿宋_GB2312" w:cs="仿宋_GB2312"/>
          <w:sz w:val="32"/>
          <w:szCs w:val="32"/>
          <w:highlight w:val="none"/>
          <w:u w:val="none"/>
          <w:lang w:val="en-US" w:eastAsia="zh-CN"/>
        </w:rPr>
        <w:t>“工改工”试点项目国有普通工业用地上已确权登记的产业用房，可按幢、层、间等固定界限为基本单元分割登记、转让，最小单元的建筑面积不低于500平方米</w:t>
      </w:r>
      <w:r>
        <w:rPr>
          <w:rFonts w:hint="eastAsia" w:ascii="仿宋_GB2312" w:hAnsi="仿宋_GB2312" w:eastAsia="仿宋_GB2312" w:cs="仿宋_GB2312"/>
          <w:color w:val="auto"/>
          <w:sz w:val="32"/>
          <w:szCs w:val="32"/>
          <w:highlight w:val="none"/>
          <w:shd w:val="clear" w:color="auto" w:fill="FFFFFF"/>
          <w:lang w:val="en-US" w:eastAsia="zh-CN"/>
        </w:rPr>
        <w:t>；</w:t>
      </w:r>
      <w:r>
        <w:rPr>
          <w:rFonts w:hint="eastAsia" w:ascii="仿宋_GB2312" w:hAnsi="仿宋_GB2312" w:eastAsia="仿宋_GB2312" w:cs="仿宋_GB2312"/>
          <w:color w:val="auto"/>
          <w:sz w:val="32"/>
          <w:szCs w:val="32"/>
          <w:highlight w:val="none"/>
          <w:shd w:val="clear" w:color="auto" w:fill="FFFFFF"/>
        </w:rPr>
        <w:t>分</w:t>
      </w:r>
      <w:r>
        <w:rPr>
          <w:rFonts w:ascii="仿宋_GB2312" w:hAnsi="仿宋_GB2312" w:eastAsia="仿宋_GB2312" w:cs="仿宋_GB2312"/>
          <w:color w:val="auto"/>
          <w:sz w:val="32"/>
          <w:szCs w:val="32"/>
          <w:highlight w:val="none"/>
          <w:shd w:val="clear" w:color="auto" w:fill="FFFFFF"/>
        </w:rPr>
        <w:t>割转让的产业用房受让主体</w:t>
      </w:r>
      <w:r>
        <w:rPr>
          <w:rFonts w:hint="eastAsia" w:ascii="仿宋_GB2312" w:hAnsi="仿宋_GB2312" w:eastAsia="仿宋_GB2312" w:cs="仿宋_GB2312"/>
          <w:color w:val="auto"/>
          <w:sz w:val="32"/>
          <w:szCs w:val="32"/>
          <w:highlight w:val="none"/>
          <w:shd w:val="clear" w:color="auto" w:fill="FFFFFF"/>
          <w:lang w:eastAsia="zh-CN"/>
        </w:rPr>
        <w:t>要求和认定程序，</w:t>
      </w:r>
      <w:r>
        <w:rPr>
          <w:rFonts w:hint="eastAsia" w:ascii="仿宋_GB2312" w:hAnsi="仿宋_GB2312" w:eastAsia="仿宋_GB2312" w:cs="仿宋_GB2312"/>
          <w:color w:val="auto"/>
          <w:sz w:val="32"/>
          <w:szCs w:val="32"/>
          <w:highlight w:val="none"/>
          <w:shd w:val="clear" w:color="auto" w:fill="FFFFFF"/>
        </w:rPr>
        <w:t>按市</w:t>
      </w:r>
      <w:r>
        <w:rPr>
          <w:rFonts w:hint="eastAsia" w:ascii="仿宋_GB2312" w:hAnsi="仿宋_GB2312" w:eastAsia="仿宋_GB2312" w:cs="仿宋_GB2312"/>
          <w:color w:val="auto"/>
          <w:sz w:val="32"/>
          <w:szCs w:val="32"/>
          <w:highlight w:val="none"/>
          <w:shd w:val="clear" w:color="auto" w:fill="FFFFFF"/>
          <w:lang w:eastAsia="zh-CN"/>
        </w:rPr>
        <w:t>的</w:t>
      </w:r>
      <w:r>
        <w:rPr>
          <w:rFonts w:hint="eastAsia" w:ascii="仿宋_GB2312" w:hAnsi="仿宋_GB2312" w:eastAsia="仿宋_GB2312" w:cs="仿宋_GB2312"/>
          <w:color w:val="auto"/>
          <w:sz w:val="32"/>
          <w:szCs w:val="32"/>
          <w:highlight w:val="none"/>
          <w:shd w:val="clear" w:color="auto" w:fill="FFFFFF"/>
        </w:rPr>
        <w:t>相关规定</w:t>
      </w:r>
      <w:r>
        <w:rPr>
          <w:rFonts w:hint="eastAsia" w:ascii="仿宋_GB2312" w:hAnsi="仿宋_GB2312" w:eastAsia="仿宋_GB2312" w:cs="仿宋_GB2312"/>
          <w:color w:val="auto"/>
          <w:sz w:val="32"/>
          <w:szCs w:val="32"/>
          <w:highlight w:val="none"/>
          <w:shd w:val="clear" w:color="auto" w:fill="FFFFFF"/>
          <w:lang w:eastAsia="zh-CN"/>
        </w:rPr>
        <w:t>执行</w:t>
      </w:r>
      <w:r>
        <w:rPr>
          <w:rFonts w:hint="eastAsia" w:ascii="仿宋_GB2312" w:hAnsi="仿宋_GB2312" w:eastAsia="仿宋_GB2312" w:cs="仿宋_GB2312"/>
          <w:color w:val="auto"/>
          <w:sz w:val="32"/>
          <w:szCs w:val="32"/>
          <w:highlight w:val="none"/>
          <w:shd w:val="clear" w:color="auto" w:fill="FFFFFF"/>
          <w:lang w:val="en-US" w:eastAsia="zh-CN"/>
        </w:rPr>
        <w:t>。</w:t>
      </w:r>
      <w:r>
        <w:rPr>
          <w:rFonts w:ascii="仿宋_GB2312" w:hAnsi="仿宋_GB2312" w:eastAsia="仿宋_GB2312" w:cs="仿宋_GB2312"/>
          <w:color w:val="auto"/>
          <w:sz w:val="32"/>
          <w:szCs w:val="32"/>
          <w:highlight w:val="none"/>
          <w:shd w:val="clear" w:color="auto" w:fill="FFFFFF"/>
        </w:rPr>
        <w:t>产业用房分割转让的比例不</w:t>
      </w:r>
      <w:r>
        <w:rPr>
          <w:rFonts w:hint="eastAsia" w:ascii="仿宋_GB2312" w:hAnsi="仿宋_GB2312" w:eastAsia="仿宋_GB2312" w:cs="仿宋_GB2312"/>
          <w:color w:val="auto"/>
          <w:sz w:val="32"/>
          <w:szCs w:val="32"/>
          <w:highlight w:val="none"/>
          <w:shd w:val="clear" w:color="auto" w:fill="FFFFFF"/>
        </w:rPr>
        <w:t>超</w:t>
      </w:r>
      <w:r>
        <w:rPr>
          <w:rFonts w:ascii="仿宋_GB2312" w:hAnsi="仿宋_GB2312" w:eastAsia="仿宋_GB2312" w:cs="仿宋_GB2312"/>
          <w:color w:val="auto"/>
          <w:sz w:val="32"/>
          <w:szCs w:val="32"/>
          <w:highlight w:val="none"/>
          <w:shd w:val="clear" w:color="auto" w:fill="FFFFFF"/>
        </w:rPr>
        <w:t>过总计容建筑面积在扣除配套行政办公及生活服务设施计容</w:t>
      </w:r>
      <w:r>
        <w:rPr>
          <w:rFonts w:hint="eastAsia" w:ascii="仿宋_GB2312" w:hAnsi="仿宋_GB2312" w:eastAsia="仿宋_GB2312" w:cs="仿宋_GB2312"/>
          <w:color w:val="auto"/>
          <w:sz w:val="32"/>
          <w:szCs w:val="32"/>
          <w:highlight w:val="none"/>
          <w:shd w:val="clear" w:color="auto" w:fill="FFFFFF"/>
        </w:rPr>
        <w:t>建筑</w:t>
      </w:r>
      <w:r>
        <w:rPr>
          <w:rFonts w:ascii="仿宋_GB2312" w:hAnsi="仿宋_GB2312" w:eastAsia="仿宋_GB2312" w:cs="仿宋_GB2312"/>
          <w:color w:val="auto"/>
          <w:sz w:val="32"/>
          <w:szCs w:val="32"/>
          <w:highlight w:val="none"/>
          <w:shd w:val="clear" w:color="auto" w:fill="FFFFFF"/>
        </w:rPr>
        <w:t>面积后的60%</w:t>
      </w:r>
      <w:r>
        <w:rPr>
          <w:rFonts w:hint="eastAsia" w:ascii="仿宋_GB2312" w:hAnsi="仿宋_GB2312" w:eastAsia="仿宋_GB2312" w:cs="仿宋_GB2312"/>
          <w:color w:val="auto"/>
          <w:sz w:val="32"/>
          <w:szCs w:val="32"/>
          <w:highlight w:val="none"/>
          <w:shd w:val="clear" w:color="auto" w:fill="FFFFFF"/>
        </w:rPr>
        <w:t>。</w:t>
      </w:r>
      <w:r>
        <w:rPr>
          <w:rStyle w:val="7"/>
          <w:rFonts w:hint="eastAsia" w:ascii="仿宋_GB2312" w:hAnsi="仿宋_GB2312" w:eastAsia="仿宋_GB2312" w:cs="仿宋_GB2312"/>
          <w:sz w:val="32"/>
          <w:szCs w:val="32"/>
          <w:highlight w:val="none"/>
          <w:u w:val="none"/>
          <w:lang w:val="en-US" w:eastAsia="zh-CN"/>
        </w:rPr>
        <w:t>普通工业用地内的配套行政办公及生活设施不得独立进行分割登记、转让或抵押，但可以随产业用房比例以幢、层、间等为基本单元进行分割登记、转让或抵押。产业用房及配套设施自完成分割转让不动产登记之日起5年内不得再次转让，起止时间须在不动产登记证书附注注记。</w:t>
      </w:r>
    </w:p>
    <w:p>
      <w:pPr>
        <w:pStyle w:val="9"/>
        <w:keepNext w:val="0"/>
        <w:keepLines w:val="0"/>
        <w:pageBreakBefore w:val="0"/>
        <w:widowControl w:val="0"/>
        <w:kinsoku/>
        <w:wordWrap/>
        <w:overflowPunct/>
        <w:topLinePunct w:val="0"/>
        <w:autoSpaceDE/>
        <w:autoSpaceDN/>
        <w:bidi w:val="0"/>
        <w:snapToGrid w:val="0"/>
        <w:spacing w:line="570" w:lineRule="exact"/>
        <w:ind w:left="0" w:leftChars="0" w:firstLine="642" w:firstLineChars="200"/>
        <w:rPr>
          <w:rStyle w:val="7"/>
          <w:rFonts w:hint="eastAsia" w:ascii="仿宋_GB2312" w:hAnsi="仿宋_GB2312" w:eastAsia="仿宋_GB2312" w:cs="仿宋_GB2312"/>
          <w:kern w:val="2"/>
          <w:sz w:val="32"/>
          <w:szCs w:val="32"/>
          <w:highlight w:val="none"/>
          <w:u w:val="none"/>
          <w:lang w:val="en" w:eastAsia="zh-CN" w:bidi="ar-SA"/>
        </w:rPr>
      </w:pPr>
      <w:r>
        <w:rPr>
          <w:rFonts w:hint="eastAsia" w:ascii="仿宋_GB2312" w:hAnsi="仿宋_GB2312" w:eastAsia="仿宋_GB2312" w:cs="仿宋_GB2312"/>
          <w:b/>
          <w:bCs/>
          <w:color w:val="auto"/>
          <w:kern w:val="2"/>
          <w:sz w:val="32"/>
          <w:szCs w:val="32"/>
          <w:highlight w:val="none"/>
          <w:u w:val="none"/>
          <w:lang w:val="en-US" w:eastAsia="zh-CN" w:bidi="ar-SA"/>
        </w:rPr>
        <w:t>3.</w:t>
      </w:r>
      <w:r>
        <w:rPr>
          <w:rFonts w:hint="eastAsia" w:ascii="仿宋_GB2312" w:hAnsi="仿宋_GB2312" w:eastAsia="仿宋_GB2312" w:cs="仿宋_GB2312"/>
          <w:b/>
          <w:bCs/>
          <w:color w:val="auto"/>
          <w:kern w:val="2"/>
          <w:sz w:val="32"/>
          <w:szCs w:val="32"/>
          <w:highlight w:val="none"/>
          <w:u w:val="none"/>
          <w:lang w:val="en" w:eastAsia="zh-CN" w:bidi="ar-SA"/>
        </w:rPr>
        <w:t>收储补偿。</w:t>
      </w:r>
      <w:r>
        <w:rPr>
          <w:rStyle w:val="7"/>
          <w:rFonts w:hint="eastAsia" w:ascii="仿宋_GB2312" w:hAnsi="仿宋_GB2312" w:eastAsia="仿宋_GB2312" w:cs="仿宋_GB2312"/>
          <w:kern w:val="2"/>
          <w:sz w:val="32"/>
          <w:szCs w:val="32"/>
          <w:highlight w:val="none"/>
          <w:u w:val="none"/>
          <w:lang w:val="en" w:eastAsia="zh-CN" w:bidi="ar-SA"/>
        </w:rPr>
        <w:t>通过政府征收、收回（收储或挂账收储）的存量普通工业用地（不含按监管协议约定收回的用地），可以采用物业补偿、货币补偿或者物业补偿与货币补偿相结合方式对土地使用权人进行补偿。其中货币补偿按原土地用途市场评估价或有关征地标准确定土地及地上建筑物价值后，直接给予原土地使用权人货币补偿；物业补偿原则上为征收范围内回迁的标准厂房物业，补偿物业视为项目自持物业。具体补偿标准可按建筑或用地面积核算，同一宗地只能选择一种方式核算：一是有合法手续的现状建筑面积部分按1:1核算补偿物业，无合法手续属2009年前建成的现状建筑面积部分按0.5 倍核算补偿物业；二是按证载（批准）用地面积每亩600平方米产业用房核算补偿物业。以区土地储备机构为主体进行协议收储的项目，可按照相关税收规定，免征土地流转过程中产生的相关税费。</w:t>
      </w:r>
    </w:p>
    <w:p>
      <w:pPr>
        <w:pStyle w:val="9"/>
        <w:keepNext w:val="0"/>
        <w:keepLines w:val="0"/>
        <w:pageBreakBefore w:val="0"/>
        <w:widowControl w:val="0"/>
        <w:kinsoku/>
        <w:wordWrap/>
        <w:overflowPunct/>
        <w:topLinePunct w:val="0"/>
        <w:autoSpaceDE/>
        <w:autoSpaceDN/>
        <w:bidi w:val="0"/>
        <w:snapToGrid w:val="0"/>
        <w:spacing w:line="570" w:lineRule="exact"/>
        <w:ind w:left="0" w:leftChars="0" w:firstLine="642" w:firstLineChars="200"/>
        <w:rPr>
          <w:rStyle w:val="7"/>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b/>
          <w:bCs/>
          <w:color w:val="auto"/>
          <w:kern w:val="2"/>
          <w:sz w:val="32"/>
          <w:szCs w:val="32"/>
          <w:highlight w:val="none"/>
          <w:u w:val="none"/>
          <w:lang w:val="en-US" w:eastAsia="zh-CN" w:bidi="ar-SA"/>
        </w:rPr>
        <w:t>4.土地整合开发。</w:t>
      </w:r>
      <w:r>
        <w:rPr>
          <w:rStyle w:val="7"/>
          <w:rFonts w:hint="eastAsia" w:ascii="仿宋_GB2312" w:hAnsi="仿宋_GB2312" w:eastAsia="仿宋_GB2312" w:cs="仿宋_GB2312"/>
          <w:sz w:val="32"/>
          <w:szCs w:val="32"/>
          <w:highlight w:val="none"/>
        </w:rPr>
        <w:t>对于符合城市更新政策的试点项目，</w:t>
      </w:r>
      <w:r>
        <w:rPr>
          <w:rFonts w:hint="eastAsia" w:ascii="仿宋_GB2312" w:hAnsi="仿宋_GB2312" w:eastAsia="仿宋_GB2312" w:cs="仿宋_GB2312"/>
          <w:b w:val="0"/>
          <w:bCs w:val="0"/>
          <w:color w:val="auto"/>
          <w:kern w:val="2"/>
          <w:sz w:val="32"/>
          <w:szCs w:val="32"/>
          <w:highlight w:val="none"/>
          <w:u w:val="none"/>
          <w:lang w:val="en-US" w:eastAsia="zh-CN" w:bidi="ar-SA"/>
        </w:rPr>
        <w:t>对</w:t>
      </w:r>
      <w:r>
        <w:rPr>
          <w:rStyle w:val="7"/>
          <w:rFonts w:hint="eastAsia" w:ascii="仿宋_GB2312" w:hAnsi="仿宋_GB2312" w:eastAsia="仿宋_GB2312" w:cs="仿宋_GB2312"/>
          <w:kern w:val="2"/>
          <w:sz w:val="32"/>
          <w:szCs w:val="32"/>
          <w:highlight w:val="none"/>
          <w:u w:val="none"/>
          <w:lang w:val="en-US" w:eastAsia="zh-CN" w:bidi="ar-SA"/>
        </w:rPr>
        <w:t>改造范围内的所有权利主体通过以房地产作价入股、签订搬迁补偿协议、联营、收购归宗等方式，将房地产相关权益转移到单一主体后，可由该主体申请实施改造，在完成上盖物拆除后注销原有不动产权证，由区规划和自然资源分局直接与单一改造主体签订出让合同，</w:t>
      </w:r>
      <w:r>
        <w:rPr>
          <w:rStyle w:val="7"/>
          <w:rFonts w:hint="eastAsia" w:ascii="仿宋_GB2312" w:hAnsi="仿宋_GB2312" w:eastAsia="仿宋_GB2312" w:cs="仿宋_GB2312"/>
          <w:kern w:val="2"/>
          <w:sz w:val="32"/>
          <w:szCs w:val="32"/>
          <w:highlight w:val="none"/>
          <w:u w:val="none"/>
          <w:lang w:val="en" w:eastAsia="zh-CN" w:bidi="ar-SA"/>
        </w:rPr>
        <w:t>在税费征收等方面视同政府土地收储办理。</w:t>
      </w:r>
      <w:r>
        <w:rPr>
          <w:rStyle w:val="7"/>
          <w:rFonts w:hint="eastAsia" w:ascii="仿宋_GB2312" w:hAnsi="仿宋_GB2312" w:eastAsia="仿宋_GB2312" w:cs="仿宋_GB2312"/>
          <w:kern w:val="2"/>
          <w:sz w:val="32"/>
          <w:szCs w:val="32"/>
          <w:highlight w:val="none"/>
          <w:u w:val="none"/>
          <w:lang w:val="en-US" w:eastAsia="zh-CN" w:bidi="ar-SA"/>
        </w:rPr>
        <w:t>归宗后的土地涉及土地出让金的，须全额缴清土地出让金；涉及已办理土地使用权抵押等他项权利登记手续，须征得土地抵押等他项权人同意，并办理涂消他项权利登记手续；涉及被采取保全措施的，应征得采取保全措施机关同意；涉及动、竣工超期的，需复核履约至批准合并之日，应先完成违约责任处理；涉及闲置土地的，应先依法处置。</w:t>
      </w:r>
    </w:p>
    <w:p>
      <w:pPr>
        <w:pStyle w:val="9"/>
        <w:keepNext w:val="0"/>
        <w:keepLines w:val="0"/>
        <w:pageBreakBefore w:val="0"/>
        <w:widowControl w:val="0"/>
        <w:kinsoku/>
        <w:wordWrap/>
        <w:overflowPunct/>
        <w:topLinePunct w:val="0"/>
        <w:autoSpaceDE/>
        <w:autoSpaceDN/>
        <w:bidi w:val="0"/>
        <w:snapToGrid w:val="0"/>
        <w:spacing w:line="570" w:lineRule="exact"/>
        <w:ind w:firstLine="642"/>
        <w:rPr>
          <w:rFonts w:hint="eastAsia" w:ascii="楷体" w:hAnsi="楷体" w:eastAsia="楷体" w:cs="楷体"/>
          <w:b w:val="0"/>
          <w:bCs w:val="0"/>
          <w:kern w:val="2"/>
          <w:sz w:val="32"/>
          <w:szCs w:val="32"/>
          <w:highlight w:val="none"/>
          <w:u w:val="none"/>
          <w:lang w:val="en-US" w:eastAsia="zh-CN" w:bidi="ar-SA"/>
        </w:rPr>
      </w:pPr>
      <w:r>
        <w:rPr>
          <w:rFonts w:hint="eastAsia" w:ascii="楷体" w:hAnsi="楷体" w:eastAsia="楷体" w:cs="楷体"/>
          <w:b w:val="0"/>
          <w:bCs w:val="0"/>
          <w:kern w:val="2"/>
          <w:sz w:val="32"/>
          <w:szCs w:val="32"/>
          <w:highlight w:val="none"/>
          <w:u w:val="none"/>
          <w:lang w:val="en-US" w:eastAsia="zh-CN" w:bidi="ar-SA"/>
        </w:rPr>
        <w:t>（二）</w:t>
      </w:r>
      <w:r>
        <w:rPr>
          <w:rFonts w:hint="eastAsia" w:ascii="楷体" w:hAnsi="楷体" w:eastAsia="楷体" w:cs="楷体"/>
          <w:b w:val="0"/>
          <w:bCs w:val="0"/>
          <w:kern w:val="2"/>
          <w:sz w:val="32"/>
          <w:szCs w:val="32"/>
          <w:highlight w:val="none"/>
          <w:u w:val="none"/>
          <w:lang w:val="en" w:eastAsia="zh-CN" w:bidi="ar-SA"/>
        </w:rPr>
        <w:t>“工改工”试点项目奖补政策</w:t>
      </w:r>
    </w:p>
    <w:p>
      <w:pPr>
        <w:pStyle w:val="9"/>
        <w:keepNext w:val="0"/>
        <w:keepLines w:val="0"/>
        <w:pageBreakBefore w:val="0"/>
        <w:widowControl w:val="0"/>
        <w:kinsoku/>
        <w:wordWrap/>
        <w:overflowPunct/>
        <w:topLinePunct w:val="0"/>
        <w:autoSpaceDE/>
        <w:autoSpaceDN/>
        <w:bidi w:val="0"/>
        <w:snapToGrid w:val="0"/>
        <w:spacing w:line="570" w:lineRule="exact"/>
        <w:rPr>
          <w:rStyle w:val="7"/>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b/>
          <w:bCs/>
          <w:color w:val="auto"/>
          <w:kern w:val="2"/>
          <w:sz w:val="32"/>
          <w:szCs w:val="32"/>
          <w:highlight w:val="none"/>
          <w:u w:val="none"/>
          <w:lang w:val="en-US" w:eastAsia="zh-CN" w:bidi="ar-SA"/>
        </w:rPr>
        <w:t>1.</w:t>
      </w:r>
      <w:r>
        <w:rPr>
          <w:rStyle w:val="7"/>
          <w:rFonts w:hint="eastAsia" w:ascii="仿宋_GB2312" w:hAnsi="仿宋_GB2312" w:eastAsia="仿宋_GB2312" w:cs="仿宋_GB2312"/>
          <w:b/>
          <w:bCs/>
          <w:sz w:val="32"/>
          <w:szCs w:val="32"/>
          <w:highlight w:val="none"/>
          <w:u w:val="none"/>
          <w:lang w:val="en-US" w:eastAsia="zh-CN"/>
        </w:rPr>
        <w:t>项目固定投资奖补。</w:t>
      </w:r>
      <w:r>
        <w:rPr>
          <w:rStyle w:val="7"/>
          <w:rFonts w:hint="eastAsia" w:ascii="仿宋_GB2312" w:hAnsi="仿宋_GB2312" w:eastAsia="仿宋_GB2312" w:cs="仿宋_GB2312"/>
          <w:kern w:val="2"/>
          <w:sz w:val="32"/>
          <w:szCs w:val="32"/>
          <w:highlight w:val="none"/>
          <w:u w:val="none"/>
          <w:lang w:val="en" w:eastAsia="zh-CN" w:bidi="ar-SA"/>
        </w:rPr>
        <w:t>存量工业用地开展“工改工”试点项目，计划固定资产投资（</w:t>
      </w:r>
      <w:r>
        <w:rPr>
          <w:rStyle w:val="7"/>
          <w:rFonts w:hint="eastAsia" w:ascii="仿宋_GB2312" w:hAnsi="仿宋_GB2312" w:eastAsia="仿宋_GB2312" w:cs="仿宋_GB2312"/>
          <w:kern w:val="2"/>
          <w:sz w:val="32"/>
          <w:szCs w:val="32"/>
          <w:highlight w:val="none"/>
          <w:u w:val="none"/>
          <w:lang w:val="en-US" w:eastAsia="zh-CN" w:bidi="ar-SA"/>
        </w:rPr>
        <w:t>同一地块上各主体固定资产投资可合并计算</w:t>
      </w:r>
      <w:r>
        <w:rPr>
          <w:rStyle w:val="7"/>
          <w:rFonts w:hint="eastAsia" w:ascii="仿宋_GB2312" w:hAnsi="仿宋_GB2312" w:eastAsia="仿宋_GB2312" w:cs="仿宋_GB2312"/>
          <w:kern w:val="2"/>
          <w:sz w:val="32"/>
          <w:szCs w:val="32"/>
          <w:highlight w:val="none"/>
          <w:u w:val="none"/>
          <w:lang w:val="en" w:eastAsia="zh-CN" w:bidi="ar-SA"/>
        </w:rPr>
        <w:t>）达到</w:t>
      </w:r>
      <w:r>
        <w:rPr>
          <w:rFonts w:hint="eastAsia" w:ascii="仿宋_GB2312" w:hAnsi="仿宋_GB2312" w:eastAsia="仿宋_GB2312" w:cs="仿宋_GB2312"/>
          <w:color w:val="auto"/>
          <w:kern w:val="2"/>
          <w:sz w:val="32"/>
          <w:szCs w:val="32"/>
          <w:highlight w:val="none"/>
          <w:lang w:val="en-US" w:eastAsia="zh-CN" w:bidi="ar-SA"/>
        </w:rPr>
        <w:t>600</w:t>
      </w:r>
      <w:r>
        <w:rPr>
          <w:rStyle w:val="7"/>
          <w:rFonts w:hint="eastAsia" w:ascii="仿宋_GB2312" w:hAnsi="仿宋_GB2312" w:eastAsia="仿宋_GB2312" w:cs="仿宋_GB2312"/>
          <w:kern w:val="2"/>
          <w:sz w:val="32"/>
          <w:szCs w:val="32"/>
          <w:highlight w:val="none"/>
          <w:u w:val="none"/>
          <w:lang w:val="en-US" w:eastAsia="zh-CN" w:bidi="ar-SA"/>
        </w:rPr>
        <w:t>万元/亩的，连续3年按当年固定资产投资额的2%给予</w:t>
      </w:r>
      <w:r>
        <w:rPr>
          <w:rStyle w:val="7"/>
          <w:rFonts w:hint="eastAsia" w:ascii="仿宋_GB2312" w:hAnsi="仿宋_GB2312" w:eastAsia="仿宋_GB2312" w:cs="仿宋_GB2312"/>
          <w:kern w:val="2"/>
          <w:sz w:val="32"/>
          <w:szCs w:val="32"/>
          <w:highlight w:val="none"/>
          <w:u w:val="none"/>
          <w:lang w:val="en" w:eastAsia="zh-CN" w:bidi="ar-SA"/>
        </w:rPr>
        <w:t>项目改造主体奖补，单个项目累计最高不超过</w:t>
      </w:r>
      <w:r>
        <w:rPr>
          <w:rStyle w:val="7"/>
          <w:rFonts w:hint="eastAsia" w:ascii="仿宋_GB2312" w:hAnsi="仿宋_GB2312" w:eastAsia="仿宋_GB2312" w:cs="仿宋_GB2312"/>
          <w:kern w:val="2"/>
          <w:sz w:val="32"/>
          <w:szCs w:val="32"/>
          <w:highlight w:val="none"/>
          <w:u w:val="none"/>
          <w:lang w:val="en-US" w:eastAsia="zh-CN" w:bidi="ar-SA"/>
        </w:rPr>
        <w:t>5</w:t>
      </w:r>
      <w:r>
        <w:rPr>
          <w:rStyle w:val="7"/>
          <w:rFonts w:hint="eastAsia" w:ascii="仿宋_GB2312" w:hAnsi="仿宋_GB2312" w:eastAsia="仿宋_GB2312" w:cs="仿宋_GB2312"/>
          <w:kern w:val="2"/>
          <w:sz w:val="32"/>
          <w:szCs w:val="32"/>
          <w:highlight w:val="none"/>
          <w:u w:val="none"/>
          <w:lang w:val="en" w:eastAsia="zh-CN" w:bidi="ar-SA"/>
        </w:rPr>
        <w:t>000万元。项目</w:t>
      </w:r>
      <w:r>
        <w:rPr>
          <w:rStyle w:val="7"/>
          <w:rFonts w:hint="eastAsia" w:ascii="仿宋_GB2312" w:hAnsi="仿宋_GB2312" w:eastAsia="仿宋_GB2312" w:cs="仿宋_GB2312"/>
          <w:kern w:val="2"/>
          <w:sz w:val="32"/>
          <w:szCs w:val="32"/>
          <w:highlight w:val="none"/>
          <w:u w:val="none"/>
          <w:lang w:val="en-US" w:eastAsia="zh-CN" w:bidi="ar-SA"/>
        </w:rPr>
        <w:t>3年内</w:t>
      </w:r>
      <w:r>
        <w:rPr>
          <w:rStyle w:val="7"/>
          <w:rFonts w:hint="eastAsia" w:ascii="仿宋_GB2312" w:hAnsi="仿宋_GB2312" w:eastAsia="仿宋_GB2312" w:cs="仿宋_GB2312"/>
          <w:kern w:val="2"/>
          <w:sz w:val="32"/>
          <w:szCs w:val="32"/>
          <w:highlight w:val="none"/>
          <w:u w:val="none"/>
          <w:lang w:val="en" w:eastAsia="zh-CN" w:bidi="ar-SA"/>
        </w:rPr>
        <w:t>实际固定资产投资未达到</w:t>
      </w:r>
      <w:r>
        <w:rPr>
          <w:rFonts w:hint="eastAsia" w:ascii="仿宋_GB2312" w:hAnsi="仿宋_GB2312" w:eastAsia="仿宋_GB2312" w:cs="仿宋_GB2312"/>
          <w:color w:val="auto"/>
          <w:kern w:val="2"/>
          <w:sz w:val="32"/>
          <w:szCs w:val="32"/>
          <w:highlight w:val="none"/>
          <w:lang w:val="en-US" w:eastAsia="zh-CN" w:bidi="ar-SA"/>
        </w:rPr>
        <w:t>600</w:t>
      </w:r>
      <w:r>
        <w:rPr>
          <w:rStyle w:val="7"/>
          <w:rFonts w:hint="eastAsia" w:ascii="仿宋_GB2312" w:hAnsi="仿宋_GB2312" w:eastAsia="仿宋_GB2312" w:cs="仿宋_GB2312"/>
          <w:kern w:val="2"/>
          <w:sz w:val="32"/>
          <w:szCs w:val="32"/>
          <w:highlight w:val="none"/>
          <w:u w:val="none"/>
          <w:lang w:val="en-US" w:eastAsia="zh-CN" w:bidi="ar-SA"/>
        </w:rPr>
        <w:t>万元/亩的，则收回该奖补资金。</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eastAsia" w:ascii="仿宋_GB2312" w:hAnsi="仿宋_GB2312" w:eastAsia="仿宋_GB2312" w:cs="仿宋_GB2312"/>
          <w:kern w:val="2"/>
          <w:sz w:val="32"/>
          <w:szCs w:val="32"/>
          <w:highlight w:val="none"/>
          <w:u w:val="none"/>
          <w:lang w:val="en" w:eastAsia="zh-CN" w:bidi="ar-SA"/>
        </w:rPr>
      </w:pPr>
      <w:r>
        <w:rPr>
          <w:rStyle w:val="7"/>
          <w:rFonts w:hint="eastAsia" w:ascii="仿宋_GB2312" w:hAnsi="仿宋_GB2312" w:eastAsia="仿宋_GB2312" w:cs="仿宋_GB2312"/>
          <w:b/>
          <w:bCs/>
          <w:sz w:val="32"/>
          <w:szCs w:val="32"/>
          <w:highlight w:val="none"/>
          <w:u w:val="none"/>
          <w:lang w:val="en-US" w:eastAsia="zh-CN"/>
        </w:rPr>
        <w:t>2.招商项目奖励。</w:t>
      </w:r>
      <w:r>
        <w:rPr>
          <w:rStyle w:val="7"/>
          <w:rFonts w:hint="eastAsia" w:ascii="仿宋_GB2312" w:hAnsi="仿宋_GB2312" w:eastAsia="仿宋_GB2312" w:cs="仿宋_GB2312"/>
          <w:kern w:val="2"/>
          <w:sz w:val="32"/>
          <w:szCs w:val="32"/>
          <w:highlight w:val="none"/>
          <w:u w:val="none"/>
          <w:lang w:val="en" w:eastAsia="zh-CN" w:bidi="ar-SA"/>
        </w:rPr>
        <w:t>存量工业用地（不含</w:t>
      </w:r>
      <w:r>
        <w:rPr>
          <w:rFonts w:hint="eastAsia" w:ascii="仿宋_GB2312" w:hAnsi="仿宋_GB2312" w:eastAsia="仿宋_GB2312" w:cs="仿宋_GB2312"/>
          <w:color w:val="auto"/>
          <w:sz w:val="32"/>
          <w:szCs w:val="32"/>
          <w:highlight w:val="none"/>
          <w:lang w:val="en-US" w:eastAsia="zh-CN"/>
        </w:rPr>
        <w:t>村镇工业集聚区</w:t>
      </w:r>
      <w:r>
        <w:rPr>
          <w:rStyle w:val="7"/>
          <w:rFonts w:hint="eastAsia" w:ascii="仿宋_GB2312" w:hAnsi="仿宋_GB2312" w:eastAsia="仿宋_GB2312" w:cs="仿宋_GB2312"/>
          <w:kern w:val="2"/>
          <w:sz w:val="32"/>
          <w:szCs w:val="32"/>
          <w:highlight w:val="none"/>
          <w:u w:val="none"/>
          <w:lang w:val="en" w:eastAsia="zh-CN" w:bidi="ar-SA"/>
        </w:rPr>
        <w:t>）开展“工改工”试点项目，对项目竣工验收后第二年，按</w:t>
      </w:r>
      <w:r>
        <w:rPr>
          <w:rStyle w:val="7"/>
          <w:rFonts w:hint="eastAsia" w:ascii="仿宋_GB2312" w:hAnsi="仿宋_GB2312" w:eastAsia="仿宋_GB2312" w:cs="仿宋_GB2312"/>
          <w:sz w:val="32"/>
          <w:szCs w:val="32"/>
          <w:highlight w:val="none"/>
          <w:u w:val="none"/>
          <w:lang w:val="en-US" w:eastAsia="zh-CN"/>
        </w:rPr>
        <w:t>同一地块上引进的市场主体合计当年产值的1.5%给予项目改造主体一次性奖励，最高不超过2000万元</w:t>
      </w:r>
      <w:r>
        <w:rPr>
          <w:rStyle w:val="7"/>
          <w:rFonts w:hint="eastAsia" w:ascii="仿宋_GB2312" w:hAnsi="仿宋_GB2312" w:eastAsia="仿宋_GB2312" w:cs="仿宋_GB2312"/>
          <w:kern w:val="2"/>
          <w:sz w:val="32"/>
          <w:szCs w:val="32"/>
          <w:highlight w:val="none"/>
          <w:u w:val="none"/>
          <w:lang w:val="en" w:eastAsia="zh-CN" w:bidi="ar-SA"/>
        </w:rPr>
        <w:t>。</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default" w:ascii="仿宋_GB2312" w:hAnsi="仿宋_GB2312" w:eastAsia="仿宋_GB2312" w:cs="仿宋_GB2312"/>
          <w:kern w:val="2"/>
          <w:sz w:val="32"/>
          <w:szCs w:val="32"/>
          <w:highlight w:val="none"/>
          <w:u w:val="none"/>
          <w:lang w:val="en-US" w:eastAsia="zh-CN" w:bidi="ar-SA"/>
        </w:rPr>
      </w:pPr>
      <w:r>
        <w:rPr>
          <w:rStyle w:val="7"/>
          <w:rFonts w:hint="eastAsia" w:ascii="仿宋_GB2312" w:hAnsi="仿宋_GB2312" w:eastAsia="仿宋_GB2312" w:cs="仿宋_GB2312"/>
          <w:b/>
          <w:bCs/>
          <w:sz w:val="32"/>
          <w:szCs w:val="32"/>
          <w:highlight w:val="none"/>
          <w:u w:val="none"/>
          <w:lang w:val="en-US" w:eastAsia="zh-CN"/>
        </w:rPr>
        <w:t>3.达标贡献奖励。</w:t>
      </w:r>
      <w:r>
        <w:rPr>
          <w:rStyle w:val="7"/>
          <w:rFonts w:hint="eastAsia" w:ascii="仿宋_GB2312" w:hAnsi="仿宋_GB2312" w:eastAsia="仿宋_GB2312" w:cs="仿宋_GB2312"/>
          <w:kern w:val="2"/>
          <w:sz w:val="32"/>
          <w:szCs w:val="32"/>
          <w:highlight w:val="none"/>
          <w:u w:val="none"/>
          <w:lang w:val="en" w:eastAsia="zh-CN" w:bidi="ar-SA"/>
        </w:rPr>
        <w:t>存量工业用地开展“工改工”试点项目，对项目竣工验收后第二年开始连续</w:t>
      </w:r>
      <w:r>
        <w:rPr>
          <w:rStyle w:val="7"/>
          <w:rFonts w:hint="eastAsia" w:ascii="仿宋_GB2312" w:hAnsi="仿宋_GB2312" w:eastAsia="仿宋_GB2312" w:cs="仿宋_GB2312"/>
          <w:kern w:val="2"/>
          <w:sz w:val="32"/>
          <w:szCs w:val="32"/>
          <w:highlight w:val="none"/>
          <w:u w:val="none"/>
          <w:lang w:val="en-US" w:eastAsia="zh-CN" w:bidi="ar-SA"/>
        </w:rPr>
        <w:t>5年，当年产出超过监管协议约定的30%、50%的，分别按当年水电费的30%、50%给予项目改造主体奖励，</w:t>
      </w:r>
      <w:r>
        <w:rPr>
          <w:rStyle w:val="7"/>
          <w:rFonts w:hint="eastAsia" w:ascii="仿宋_GB2312" w:hAnsi="仿宋_GB2312" w:eastAsia="仿宋_GB2312" w:cs="仿宋_GB2312"/>
          <w:sz w:val="32"/>
          <w:szCs w:val="32"/>
          <w:highlight w:val="none"/>
          <w:u w:val="none"/>
          <w:lang w:val="en-US" w:eastAsia="zh-CN"/>
        </w:rPr>
        <w:t>每年奖励金额最高不超过</w:t>
      </w:r>
      <w:r>
        <w:rPr>
          <w:rStyle w:val="7"/>
          <w:rFonts w:hint="eastAsia" w:ascii="仿宋_GB2312" w:hAnsi="仿宋_GB2312" w:eastAsia="仿宋_GB2312" w:cs="仿宋_GB2312"/>
          <w:kern w:val="2"/>
          <w:sz w:val="32"/>
          <w:szCs w:val="32"/>
          <w:highlight w:val="none"/>
          <w:u w:val="none"/>
          <w:lang w:val="en" w:eastAsia="zh-CN" w:bidi="ar-SA"/>
        </w:rPr>
        <w:t>项目用地内</w:t>
      </w:r>
      <w:r>
        <w:rPr>
          <w:rStyle w:val="7"/>
          <w:rFonts w:hint="eastAsia" w:ascii="仿宋_GB2312" w:hAnsi="仿宋_GB2312" w:eastAsia="仿宋_GB2312" w:cs="仿宋_GB2312"/>
          <w:kern w:val="2"/>
          <w:sz w:val="32"/>
          <w:szCs w:val="32"/>
          <w:highlight w:val="none"/>
          <w:u w:val="none"/>
          <w:lang w:val="en-US" w:eastAsia="zh-CN" w:bidi="ar-SA"/>
        </w:rPr>
        <w:t>各相关市场主体当年合计产值的1%</w:t>
      </w:r>
      <w:r>
        <w:rPr>
          <w:rStyle w:val="7"/>
          <w:rFonts w:hint="eastAsia" w:ascii="仿宋_GB2312" w:hAnsi="仿宋_GB2312" w:eastAsia="仿宋_GB2312" w:cs="仿宋_GB2312"/>
          <w:kern w:val="2"/>
          <w:sz w:val="32"/>
          <w:szCs w:val="32"/>
          <w:highlight w:val="none"/>
          <w:u w:val="none"/>
          <w:lang w:val="en" w:eastAsia="zh-CN" w:bidi="ar-SA"/>
        </w:rPr>
        <w:t>。政府供地项目自本办法实施后符合本条达标贡献要求的，参照本条享受支持。</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Style w:val="7"/>
          <w:rFonts w:hint="eastAsia" w:ascii="仿宋_GB2312" w:hAnsi="仿宋_GB2312" w:eastAsia="仿宋_GB2312" w:cs="仿宋_GB2312"/>
          <w:kern w:val="2"/>
          <w:sz w:val="32"/>
          <w:szCs w:val="32"/>
          <w:highlight w:val="none"/>
          <w:u w:val="none"/>
          <w:lang w:val="en-US" w:eastAsia="zh-CN" w:bidi="ar-SA"/>
        </w:rPr>
      </w:pPr>
      <w:r>
        <w:rPr>
          <w:rStyle w:val="7"/>
          <w:rFonts w:hint="eastAsia" w:ascii="仿宋_GB2312" w:hAnsi="仿宋_GB2312" w:eastAsia="仿宋_GB2312" w:cs="仿宋_GB2312"/>
          <w:b/>
          <w:bCs/>
          <w:sz w:val="32"/>
          <w:szCs w:val="32"/>
          <w:highlight w:val="none"/>
          <w:u w:val="none"/>
          <w:lang w:val="en-US" w:eastAsia="zh-CN"/>
        </w:rPr>
        <w:t>4.搬迁租金补助。</w:t>
      </w:r>
      <w:r>
        <w:rPr>
          <w:rStyle w:val="7"/>
          <w:rFonts w:hint="eastAsia" w:ascii="仿宋_GB2312" w:hAnsi="仿宋_GB2312" w:eastAsia="仿宋_GB2312" w:cs="仿宋_GB2312"/>
          <w:kern w:val="2"/>
          <w:sz w:val="32"/>
          <w:szCs w:val="32"/>
          <w:highlight w:val="none"/>
          <w:u w:val="none"/>
          <w:lang w:val="en-US" w:eastAsia="zh-CN" w:bidi="ar-SA"/>
        </w:rPr>
        <w:t>存量工业用地开展“工改工”</w:t>
      </w:r>
      <w:r>
        <w:rPr>
          <w:rStyle w:val="7"/>
          <w:rFonts w:hint="eastAsia" w:ascii="仿宋_GB2312" w:hAnsi="仿宋_GB2312" w:eastAsia="仿宋_GB2312" w:cs="仿宋_GB2312"/>
          <w:kern w:val="2"/>
          <w:sz w:val="32"/>
          <w:szCs w:val="32"/>
          <w:highlight w:val="none"/>
          <w:u w:val="none"/>
          <w:lang w:val="en" w:eastAsia="zh-CN" w:bidi="ar-SA"/>
        </w:rPr>
        <w:t>试点项目</w:t>
      </w:r>
      <w:r>
        <w:rPr>
          <w:rStyle w:val="7"/>
          <w:rFonts w:hint="eastAsia" w:ascii="仿宋_GB2312" w:hAnsi="仿宋_GB2312" w:eastAsia="仿宋_GB2312" w:cs="仿宋_GB2312"/>
          <w:kern w:val="2"/>
          <w:sz w:val="32"/>
          <w:szCs w:val="32"/>
          <w:highlight w:val="none"/>
          <w:u w:val="none"/>
          <w:lang w:val="en-US" w:eastAsia="zh-CN" w:bidi="ar-SA"/>
        </w:rPr>
        <w:t>期间，用地上原有规上企业</w:t>
      </w:r>
      <w:r>
        <w:rPr>
          <w:rStyle w:val="7"/>
          <w:rFonts w:hint="eastAsia" w:ascii="仿宋_GB2312" w:hAnsi="仿宋_GB2312" w:eastAsia="仿宋_GB2312" w:cs="仿宋_GB2312"/>
          <w:kern w:val="2"/>
          <w:sz w:val="32"/>
          <w:szCs w:val="32"/>
          <w:highlight w:val="none"/>
          <w:u w:val="none"/>
          <w:lang w:val="en" w:eastAsia="zh-CN" w:bidi="ar-SA"/>
        </w:rPr>
        <w:t>搬迁到增城区范围内、租赁迁入地镇街指定或认可的相当面积厂房继续生产经营的，给予</w:t>
      </w:r>
      <w:r>
        <w:rPr>
          <w:rStyle w:val="7"/>
          <w:rFonts w:hint="eastAsia" w:ascii="仿宋_GB2312" w:hAnsi="仿宋_GB2312" w:eastAsia="仿宋_GB2312" w:cs="仿宋_GB2312"/>
          <w:kern w:val="2"/>
          <w:sz w:val="32"/>
          <w:szCs w:val="32"/>
          <w:highlight w:val="none"/>
          <w:u w:val="none"/>
          <w:lang w:val="en-US" w:eastAsia="zh-CN" w:bidi="ar-SA"/>
        </w:rPr>
        <w:t>10元/平方米/月的厂房租金补助，</w:t>
      </w:r>
      <w:r>
        <w:rPr>
          <w:rStyle w:val="7"/>
          <w:rFonts w:hint="eastAsia" w:ascii="仿宋_GB2312" w:hAnsi="仿宋_GB2312" w:eastAsia="仿宋_GB2312" w:cs="仿宋_GB2312"/>
          <w:kern w:val="2"/>
          <w:sz w:val="32"/>
          <w:szCs w:val="32"/>
          <w:highlight w:val="none"/>
          <w:u w:val="none"/>
          <w:lang w:val="en" w:eastAsia="zh-CN" w:bidi="ar-SA"/>
        </w:rPr>
        <w:t>连续补助</w:t>
      </w:r>
      <w:r>
        <w:rPr>
          <w:rStyle w:val="7"/>
          <w:rFonts w:hint="eastAsia" w:ascii="仿宋_GB2312" w:hAnsi="仿宋_GB2312" w:eastAsia="仿宋_GB2312" w:cs="仿宋_GB2312"/>
          <w:kern w:val="2"/>
          <w:sz w:val="32"/>
          <w:szCs w:val="32"/>
          <w:highlight w:val="none"/>
          <w:u w:val="none"/>
          <w:lang w:val="en-US" w:eastAsia="zh-CN" w:bidi="ar-SA"/>
        </w:rPr>
        <w:t>2年，每年补助金额不超过该企业当年产值的1%。</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Fonts w:hint="eastAsia" w:ascii="楷体" w:hAnsi="楷体" w:eastAsia="楷体" w:cs="楷体"/>
          <w:b w:val="0"/>
          <w:bCs w:val="0"/>
          <w:kern w:val="2"/>
          <w:sz w:val="32"/>
          <w:szCs w:val="32"/>
          <w:highlight w:val="none"/>
          <w:u w:val="none"/>
          <w:lang w:val="en-US" w:eastAsia="zh-CN" w:bidi="ar-SA"/>
        </w:rPr>
      </w:pPr>
      <w:r>
        <w:rPr>
          <w:rFonts w:hint="eastAsia" w:ascii="楷体" w:hAnsi="楷体" w:eastAsia="楷体" w:cs="楷体"/>
          <w:b w:val="0"/>
          <w:bCs w:val="0"/>
          <w:kern w:val="2"/>
          <w:sz w:val="32"/>
          <w:szCs w:val="32"/>
          <w:highlight w:val="none"/>
          <w:u w:val="none"/>
          <w:lang w:val="en-US" w:eastAsia="zh-CN" w:bidi="ar-SA"/>
        </w:rPr>
        <w:t>（三）村镇工业集聚区专项政策</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 w:eastAsia="zh-CN"/>
        </w:rPr>
        <w:t>列入“工改工”试点项目</w:t>
      </w:r>
      <w:r>
        <w:rPr>
          <w:rFonts w:hint="eastAsia" w:ascii="仿宋_GB2312" w:hAnsi="仿宋_GB2312" w:eastAsia="仿宋_GB2312" w:cs="仿宋_GB2312"/>
          <w:color w:val="auto"/>
          <w:sz w:val="32"/>
          <w:szCs w:val="32"/>
          <w:highlight w:val="none"/>
          <w:lang w:val="en-US" w:eastAsia="zh-CN"/>
        </w:rPr>
        <w:t>的村镇工业集聚区“工改工”项目，可同等享受</w:t>
      </w:r>
      <w:r>
        <w:rPr>
          <w:rFonts w:hint="eastAsia" w:ascii="仿宋_GB2312" w:hAnsi="仿宋_GB2312" w:eastAsia="仿宋_GB2312" w:cs="仿宋_GB2312"/>
          <w:color w:val="auto"/>
          <w:sz w:val="32"/>
          <w:szCs w:val="32"/>
          <w:highlight w:val="none"/>
          <w:lang w:val="en" w:eastAsia="zh-CN"/>
        </w:rPr>
        <w:t>“工改工”试点项目用地政策和奖补政策外，还给予以下专项政策支持：</w:t>
      </w:r>
    </w:p>
    <w:p>
      <w:pPr>
        <w:keepNext w:val="0"/>
        <w:keepLines w:val="0"/>
        <w:pageBreakBefore w:val="0"/>
        <w:widowControl w:val="0"/>
        <w:kinsoku/>
        <w:wordWrap/>
        <w:overflowPunct/>
        <w:topLinePunct w:val="0"/>
        <w:autoSpaceDE/>
        <w:autoSpaceDN/>
        <w:bidi w:val="0"/>
        <w:adjustRightInd/>
        <w:snapToGrid w:val="0"/>
        <w:spacing w:line="570" w:lineRule="exact"/>
        <w:ind w:firstLine="642"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Style w:val="7"/>
          <w:rFonts w:hint="eastAsia" w:ascii="仿宋_GB2312" w:hAnsi="仿宋_GB2312" w:eastAsia="仿宋_GB2312" w:cs="仿宋_GB2312"/>
          <w:b/>
          <w:bCs/>
          <w:sz w:val="32"/>
          <w:szCs w:val="32"/>
          <w:highlight w:val="none"/>
          <w:u w:val="none"/>
          <w:lang w:val="en-US" w:eastAsia="zh-CN"/>
        </w:rPr>
        <w:t>1.土地规划支持。</w:t>
      </w:r>
      <w:r>
        <w:rPr>
          <w:rFonts w:hint="eastAsia" w:ascii="仿宋_GB2312" w:hAnsi="仿宋_GB2312" w:eastAsia="仿宋_GB2312" w:cs="仿宋_GB2312"/>
          <w:color w:val="auto"/>
          <w:sz w:val="32"/>
          <w:szCs w:val="32"/>
          <w:highlight w:val="none"/>
          <w:lang w:val="en-US" w:eastAsia="zh-CN"/>
        </w:rPr>
        <w:t>村镇工业集聚区</w:t>
      </w:r>
      <w:r>
        <w:rPr>
          <w:rFonts w:hint="eastAsia" w:ascii="仿宋_GB2312" w:hAnsi="仿宋_GB2312" w:eastAsia="仿宋_GB2312" w:cs="仿宋_GB2312"/>
          <w:color w:val="auto"/>
          <w:sz w:val="32"/>
          <w:szCs w:val="32"/>
          <w:highlight w:val="none"/>
        </w:rPr>
        <w:t>“工改工”项目符合“三旧”改造</w:t>
      </w:r>
      <w:r>
        <w:rPr>
          <w:rFonts w:hint="eastAsia" w:ascii="仿宋_GB2312" w:hAnsi="仿宋_GB2312" w:eastAsia="仿宋_GB2312" w:cs="仿宋_GB2312"/>
          <w:color w:val="auto"/>
          <w:sz w:val="32"/>
          <w:szCs w:val="32"/>
          <w:highlight w:val="none"/>
          <w:lang w:eastAsia="zh-CN"/>
        </w:rPr>
        <w:t>条件，并在符合国土空间总体规划的前提下，按照省市相关规定和程序，给予</w:t>
      </w:r>
      <w:r>
        <w:rPr>
          <w:rFonts w:hint="eastAsia" w:ascii="仿宋_GB2312" w:hAnsi="仿宋_GB2312" w:eastAsia="仿宋_GB2312" w:cs="仿宋_GB2312"/>
          <w:b w:val="0"/>
          <w:bCs w:val="0"/>
          <w:color w:val="auto"/>
          <w:sz w:val="32"/>
          <w:szCs w:val="32"/>
          <w:highlight w:val="none"/>
          <w:u w:val="none"/>
          <w:lang w:val="en-US" w:eastAsia="zh-CN"/>
        </w:rPr>
        <w:t>完善历史用地手续、优先安排建设用地指标和用地规模、</w:t>
      </w:r>
      <w:r>
        <w:rPr>
          <w:rFonts w:hint="eastAsia" w:ascii="仿宋_GB2312" w:hAnsi="仿宋_GB2312" w:eastAsia="仿宋_GB2312" w:cs="仿宋_GB2312"/>
          <w:color w:val="auto"/>
          <w:sz w:val="32"/>
          <w:szCs w:val="32"/>
          <w:highlight w:val="none"/>
          <w:lang w:val="en-US" w:eastAsia="zh-CN"/>
        </w:rPr>
        <w:t>纳入标图建库范围、</w:t>
      </w:r>
      <w:r>
        <w:rPr>
          <w:rFonts w:hint="eastAsia" w:ascii="仿宋_GB2312" w:hAnsi="仿宋_GB2312" w:eastAsia="仿宋_GB2312" w:cs="仿宋_GB2312"/>
          <w:b w:val="0"/>
          <w:bCs w:val="0"/>
          <w:color w:val="auto"/>
          <w:kern w:val="2"/>
          <w:sz w:val="32"/>
          <w:szCs w:val="32"/>
          <w:highlight w:val="none"/>
          <w:u w:val="none"/>
          <w:lang w:val="en-US" w:eastAsia="zh-CN" w:bidi="ar-SA"/>
        </w:rPr>
        <w:t>连片混合开发等土地规划支持。</w:t>
      </w:r>
    </w:p>
    <w:p>
      <w:pPr>
        <w:pStyle w:val="2"/>
        <w:keepNext w:val="0"/>
        <w:keepLines w:val="0"/>
        <w:pageBreakBefore w:val="0"/>
        <w:widowControl w:val="0"/>
        <w:kinsoku/>
        <w:wordWrap/>
        <w:overflowPunct/>
        <w:topLinePunct w:val="0"/>
        <w:autoSpaceDE/>
        <w:autoSpaceDN/>
        <w:bidi w:val="0"/>
        <w:snapToGrid w:val="0"/>
        <w:spacing w:line="570" w:lineRule="exact"/>
        <w:ind w:left="0" w:leftChars="0" w:firstLine="642" w:firstLineChars="200"/>
        <w:rPr>
          <w:rStyle w:val="7"/>
          <w:rFonts w:hint="eastAsia" w:ascii="仿宋_GB2312" w:hAnsi="仿宋_GB2312" w:eastAsia="仿宋_GB2312" w:cs="仿宋_GB2312"/>
          <w:b w:val="0"/>
          <w:bCs w:val="0"/>
          <w:sz w:val="32"/>
          <w:szCs w:val="32"/>
          <w:highlight w:val="none"/>
          <w:u w:val="none"/>
          <w:lang w:val="en" w:eastAsia="zh-CN"/>
        </w:rPr>
      </w:pPr>
      <w:r>
        <w:rPr>
          <w:rStyle w:val="7"/>
          <w:rFonts w:hint="eastAsia" w:ascii="仿宋_GB2312" w:hAnsi="仿宋_GB2312" w:eastAsia="仿宋_GB2312" w:cs="仿宋_GB2312"/>
          <w:b/>
          <w:bCs/>
          <w:sz w:val="32"/>
          <w:szCs w:val="32"/>
          <w:highlight w:val="none"/>
          <w:u w:val="none"/>
          <w:lang w:val="en-US" w:eastAsia="zh-CN"/>
        </w:rPr>
        <w:t>2.在建工程抵押。</w:t>
      </w:r>
      <w:r>
        <w:rPr>
          <w:rStyle w:val="7"/>
          <w:rFonts w:hint="eastAsia" w:ascii="仿宋_GB2312" w:hAnsi="仿宋_GB2312" w:eastAsia="仿宋_GB2312" w:cs="仿宋_GB2312"/>
          <w:b w:val="0"/>
          <w:bCs w:val="0"/>
          <w:sz w:val="32"/>
          <w:szCs w:val="32"/>
          <w:highlight w:val="none"/>
          <w:u w:val="none"/>
          <w:lang w:val="en" w:eastAsia="zh-CN"/>
        </w:rPr>
        <w:t>允许村镇工业集聚区“工改工”项目按照《中华人民共和国民法典》《城市房地产抵押管理办法》（建设部令第52号）等相关规定，按栋办理在建工程抵押及余额抵押，按项目建设需要，支持原已设定在建工程抵押的厂房竣工后，通过新增在建抵押物方式注销原建筑物抵押后办理现售，保证开工、抵押、现售滚动开发的资金需求。</w:t>
      </w:r>
    </w:p>
    <w:p>
      <w:pPr>
        <w:pStyle w:val="2"/>
        <w:keepNext w:val="0"/>
        <w:keepLines w:val="0"/>
        <w:pageBreakBefore w:val="0"/>
        <w:widowControl w:val="0"/>
        <w:kinsoku/>
        <w:wordWrap/>
        <w:overflowPunct/>
        <w:topLinePunct w:val="0"/>
        <w:autoSpaceDE/>
        <w:autoSpaceDN/>
        <w:bidi w:val="0"/>
        <w:adjustRightInd/>
        <w:snapToGrid w:val="0"/>
        <w:spacing w:line="570" w:lineRule="exact"/>
        <w:ind w:left="0" w:leftChars="0" w:firstLine="642" w:firstLineChars="200"/>
        <w:textAlignment w:val="auto"/>
        <w:rPr>
          <w:rStyle w:val="7"/>
          <w:rFonts w:hint="eastAsia" w:ascii="仿宋_GB2312" w:hAnsi="仿宋_GB2312" w:eastAsia="仿宋_GB2312" w:cs="仿宋_GB2312"/>
          <w:kern w:val="2"/>
          <w:sz w:val="32"/>
          <w:szCs w:val="32"/>
          <w:highlight w:val="none"/>
          <w:u w:val="none"/>
          <w:lang w:val="en" w:eastAsia="zh-CN" w:bidi="ar-SA"/>
        </w:rPr>
      </w:pPr>
      <w:r>
        <w:rPr>
          <w:rStyle w:val="7"/>
          <w:rFonts w:hint="eastAsia" w:ascii="仿宋_GB2312" w:hAnsi="仿宋_GB2312" w:eastAsia="仿宋_GB2312" w:cs="仿宋_GB2312"/>
          <w:b/>
          <w:bCs/>
          <w:sz w:val="32"/>
          <w:szCs w:val="32"/>
          <w:highlight w:val="none"/>
          <w:u w:val="none"/>
          <w:lang w:val="en-US" w:eastAsia="zh-CN"/>
        </w:rPr>
        <w:t>3.村改招商奖励。</w:t>
      </w:r>
      <w:r>
        <w:rPr>
          <w:rFonts w:hint="eastAsia" w:ascii="仿宋_GB2312" w:hAnsi="仿宋_GB2312" w:eastAsia="仿宋_GB2312" w:cs="仿宋_GB2312"/>
          <w:color w:val="auto"/>
          <w:sz w:val="32"/>
          <w:szCs w:val="32"/>
          <w:highlight w:val="none"/>
          <w:lang w:val="en-US" w:eastAsia="zh-CN"/>
        </w:rPr>
        <w:t>村镇工业集聚区</w:t>
      </w:r>
      <w:r>
        <w:rPr>
          <w:rStyle w:val="7"/>
          <w:rFonts w:hint="eastAsia" w:ascii="仿宋_GB2312" w:hAnsi="仿宋_GB2312" w:eastAsia="仿宋_GB2312" w:cs="仿宋_GB2312"/>
          <w:kern w:val="2"/>
          <w:sz w:val="32"/>
          <w:szCs w:val="32"/>
          <w:highlight w:val="none"/>
          <w:u w:val="none"/>
          <w:lang w:val="en-US" w:eastAsia="zh-CN" w:bidi="ar-SA"/>
        </w:rPr>
        <w:t>“工改工”</w:t>
      </w:r>
      <w:r>
        <w:rPr>
          <w:rStyle w:val="7"/>
          <w:rFonts w:hint="eastAsia" w:ascii="仿宋_GB2312" w:hAnsi="仿宋_GB2312" w:eastAsia="仿宋_GB2312" w:cs="仿宋_GB2312"/>
          <w:kern w:val="2"/>
          <w:sz w:val="32"/>
          <w:szCs w:val="32"/>
          <w:highlight w:val="none"/>
          <w:u w:val="none"/>
          <w:lang w:val="en" w:eastAsia="zh-CN" w:bidi="ar-SA"/>
        </w:rPr>
        <w:t>试点项目</w:t>
      </w:r>
      <w:r>
        <w:rPr>
          <w:rStyle w:val="7"/>
          <w:rFonts w:hint="eastAsia" w:ascii="仿宋_GB2312" w:hAnsi="仿宋_GB2312" w:eastAsia="仿宋_GB2312" w:cs="仿宋_GB2312"/>
          <w:kern w:val="2"/>
          <w:sz w:val="32"/>
          <w:szCs w:val="32"/>
          <w:highlight w:val="none"/>
          <w:u w:val="none"/>
          <w:lang w:val="en-US" w:eastAsia="zh-CN" w:bidi="ar-SA"/>
        </w:rPr>
        <w:t>，</w:t>
      </w:r>
      <w:r>
        <w:rPr>
          <w:rStyle w:val="7"/>
          <w:rFonts w:hint="eastAsia" w:ascii="仿宋_GB2312" w:hAnsi="仿宋_GB2312" w:eastAsia="仿宋_GB2312" w:cs="仿宋_GB2312"/>
          <w:kern w:val="2"/>
          <w:sz w:val="32"/>
          <w:szCs w:val="32"/>
          <w:highlight w:val="none"/>
          <w:u w:val="none"/>
          <w:lang w:val="en" w:eastAsia="zh-CN" w:bidi="ar-SA"/>
        </w:rPr>
        <w:t>自项目竣工验收后第二年开始连续</w:t>
      </w:r>
      <w:r>
        <w:rPr>
          <w:rStyle w:val="7"/>
          <w:rFonts w:hint="eastAsia" w:ascii="仿宋_GB2312" w:hAnsi="仿宋_GB2312" w:eastAsia="仿宋_GB2312" w:cs="仿宋_GB2312"/>
          <w:kern w:val="2"/>
          <w:sz w:val="32"/>
          <w:szCs w:val="32"/>
          <w:highlight w:val="none"/>
          <w:u w:val="none"/>
          <w:lang w:val="en-US" w:eastAsia="zh-CN" w:bidi="ar-SA"/>
        </w:rPr>
        <w:t>5</w:t>
      </w:r>
      <w:r>
        <w:rPr>
          <w:rStyle w:val="7"/>
          <w:rFonts w:hint="eastAsia" w:ascii="仿宋_GB2312" w:hAnsi="仿宋_GB2312" w:eastAsia="仿宋_GB2312" w:cs="仿宋_GB2312"/>
          <w:kern w:val="2"/>
          <w:sz w:val="32"/>
          <w:szCs w:val="32"/>
          <w:highlight w:val="none"/>
          <w:u w:val="none"/>
          <w:lang w:val="en" w:eastAsia="zh-CN" w:bidi="ar-SA"/>
        </w:rPr>
        <w:t>年，每年按</w:t>
      </w:r>
      <w:r>
        <w:rPr>
          <w:rStyle w:val="7"/>
          <w:rFonts w:hint="eastAsia" w:ascii="仿宋_GB2312" w:hAnsi="仿宋_GB2312" w:eastAsia="仿宋_GB2312" w:cs="仿宋_GB2312"/>
          <w:kern w:val="2"/>
          <w:sz w:val="32"/>
          <w:szCs w:val="32"/>
          <w:highlight w:val="none"/>
          <w:u w:val="none"/>
          <w:lang w:val="en-US" w:eastAsia="zh-CN" w:bidi="ar-SA"/>
        </w:rPr>
        <w:t>同一地块上引进的市场主体合计当年产值的</w:t>
      </w:r>
      <w:r>
        <w:rPr>
          <w:rStyle w:val="7"/>
          <w:rFonts w:hint="eastAsia" w:ascii="仿宋_GB2312" w:hAnsi="仿宋_GB2312" w:eastAsia="仿宋_GB2312" w:cs="仿宋_GB2312"/>
          <w:b w:val="0"/>
          <w:bCs w:val="0"/>
          <w:sz w:val="32"/>
          <w:szCs w:val="32"/>
          <w:highlight w:val="none"/>
          <w:u w:val="none"/>
          <w:lang w:val="en-US" w:eastAsia="zh-CN"/>
        </w:rPr>
        <w:t>1.2%</w:t>
      </w:r>
      <w:r>
        <w:rPr>
          <w:rStyle w:val="7"/>
          <w:rFonts w:hint="eastAsia" w:ascii="仿宋_GB2312" w:hAnsi="仿宋_GB2312" w:eastAsia="仿宋_GB2312" w:cs="仿宋_GB2312"/>
          <w:kern w:val="2"/>
          <w:sz w:val="32"/>
          <w:szCs w:val="32"/>
          <w:highlight w:val="none"/>
          <w:u w:val="none"/>
          <w:lang w:val="en-US" w:eastAsia="zh-CN" w:bidi="ar-SA"/>
        </w:rPr>
        <w:t>，按8:2比例分别给予项目改造主体和村集体</w:t>
      </w:r>
      <w:r>
        <w:rPr>
          <w:rStyle w:val="7"/>
          <w:rFonts w:hint="eastAsia" w:ascii="仿宋_GB2312" w:hAnsi="仿宋_GB2312" w:eastAsia="仿宋_GB2312" w:cs="仿宋_GB2312"/>
          <w:sz w:val="32"/>
          <w:szCs w:val="32"/>
          <w:highlight w:val="none"/>
          <w:u w:val="none"/>
          <w:lang w:val="en-US" w:eastAsia="zh-CN"/>
        </w:rPr>
        <w:t>奖励</w:t>
      </w:r>
      <w:r>
        <w:rPr>
          <w:rStyle w:val="7"/>
          <w:rFonts w:hint="eastAsia" w:ascii="仿宋_GB2312" w:hAnsi="仿宋_GB2312" w:eastAsia="仿宋_GB2312" w:cs="仿宋_GB2312"/>
          <w:kern w:val="2"/>
          <w:sz w:val="32"/>
          <w:szCs w:val="32"/>
          <w:highlight w:val="none"/>
          <w:u w:val="none"/>
          <w:lang w:val="en" w:eastAsia="zh-CN" w:bidi="ar-SA"/>
        </w:rPr>
        <w:t>。</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Fonts w:hint="eastAsia" w:ascii="黑体" w:hAnsi="黑体" w:eastAsia="黑体" w:cs="黑体"/>
          <w:sz w:val="32"/>
          <w:szCs w:val="32"/>
          <w:highlight w:val="none"/>
          <w:u w:val="none"/>
          <w:lang w:val="en-US" w:eastAsia="zh-CN"/>
        </w:rPr>
      </w:pPr>
      <w:r>
        <w:rPr>
          <w:rFonts w:hint="eastAsia" w:ascii="黑体" w:hAnsi="黑体" w:eastAsia="黑体" w:cs="黑体"/>
          <w:sz w:val="32"/>
          <w:szCs w:val="32"/>
          <w:highlight w:val="none"/>
          <w:u w:val="none"/>
          <w:lang w:val="en-US" w:eastAsia="zh-CN"/>
        </w:rPr>
        <w:t>五、保障措施</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Style w:val="7"/>
          <w:rFonts w:hint="eastAsia" w:ascii="仿宋_GB2312" w:hAnsi="仿宋_GB2312" w:eastAsia="仿宋_GB2312" w:cs="仿宋_GB2312"/>
          <w:kern w:val="2"/>
          <w:sz w:val="32"/>
          <w:szCs w:val="32"/>
          <w:highlight w:val="none"/>
          <w:u w:val="none"/>
          <w:lang w:val="en-US" w:eastAsia="zh-CN" w:bidi="ar-SA"/>
        </w:rPr>
      </w:pPr>
      <w:r>
        <w:rPr>
          <w:rFonts w:hint="eastAsia" w:ascii="楷体" w:hAnsi="楷体" w:eastAsia="楷体" w:cs="楷体"/>
          <w:b w:val="0"/>
          <w:bCs w:val="0"/>
          <w:kern w:val="2"/>
          <w:sz w:val="32"/>
          <w:szCs w:val="32"/>
          <w:highlight w:val="none"/>
          <w:u w:val="none"/>
          <w:lang w:val="en-US" w:eastAsia="zh-CN" w:bidi="ar-SA"/>
        </w:rPr>
        <w:t>（一）加强组织协调联动。</w:t>
      </w:r>
      <w:r>
        <w:rPr>
          <w:rStyle w:val="7"/>
          <w:rFonts w:hint="eastAsia" w:ascii="仿宋_GB2312" w:hAnsi="仿宋_GB2312" w:eastAsia="仿宋_GB2312" w:cs="仿宋_GB2312"/>
          <w:kern w:val="2"/>
          <w:sz w:val="32"/>
          <w:szCs w:val="32"/>
          <w:highlight w:val="none"/>
          <w:u w:val="none"/>
          <w:lang w:val="en-US" w:eastAsia="zh-CN" w:bidi="ar-SA"/>
        </w:rPr>
        <w:t>建立健全市、区共建机制，争取市的工作支持和指导。强化组织领导，</w:t>
      </w:r>
      <w:r>
        <w:rPr>
          <w:rStyle w:val="7"/>
          <w:rFonts w:hint="eastAsia" w:ascii="仿宋_GB2312" w:hAnsi="仿宋_GB2312" w:eastAsia="仿宋_GB2312" w:cs="仿宋_GB2312"/>
          <w:b w:val="0"/>
          <w:bCs w:val="0"/>
          <w:sz w:val="32"/>
          <w:szCs w:val="32"/>
          <w:highlight w:val="none"/>
          <w:u w:val="none"/>
          <w:lang w:val="en-US" w:eastAsia="zh-CN"/>
        </w:rPr>
        <w:t>建立</w:t>
      </w:r>
      <w:r>
        <w:rPr>
          <w:rStyle w:val="7"/>
          <w:rFonts w:hint="eastAsia" w:ascii="仿宋_GB2312" w:hAnsi="仿宋_GB2312" w:eastAsia="仿宋_GB2312" w:cs="仿宋_GB2312"/>
          <w:b w:val="0"/>
          <w:bCs w:val="0"/>
          <w:sz w:val="32"/>
          <w:szCs w:val="32"/>
          <w:highlight w:val="none"/>
          <w:u w:val="none"/>
          <w:lang w:val="en" w:eastAsia="zh-CN"/>
        </w:rPr>
        <w:t>区</w:t>
      </w:r>
      <w:r>
        <w:rPr>
          <w:rStyle w:val="7"/>
          <w:rFonts w:hint="eastAsia" w:ascii="仿宋_GB2312" w:hAnsi="仿宋_GB2312" w:eastAsia="仿宋_GB2312" w:cs="仿宋_GB2312"/>
          <w:b w:val="0"/>
          <w:bCs w:val="0"/>
          <w:sz w:val="32"/>
          <w:szCs w:val="32"/>
          <w:highlight w:val="none"/>
          <w:u w:val="none"/>
          <w:lang w:val="en-US" w:eastAsia="zh-CN"/>
        </w:rPr>
        <w:t>“工改工”</w:t>
      </w:r>
      <w:r>
        <w:rPr>
          <w:rStyle w:val="7"/>
          <w:rFonts w:hint="eastAsia" w:ascii="仿宋_GB2312" w:hAnsi="仿宋_GB2312" w:eastAsia="仿宋_GB2312" w:cs="仿宋_GB2312"/>
          <w:b w:val="0"/>
          <w:bCs w:val="0"/>
          <w:sz w:val="32"/>
          <w:szCs w:val="32"/>
          <w:highlight w:val="none"/>
          <w:u w:val="none"/>
          <w:lang w:val="en" w:eastAsia="zh-CN"/>
        </w:rPr>
        <w:t>项目联席会议制度</w:t>
      </w:r>
      <w:r>
        <w:rPr>
          <w:rStyle w:val="7"/>
          <w:rFonts w:hint="eastAsia" w:ascii="仿宋_GB2312" w:hAnsi="仿宋_GB2312" w:eastAsia="仿宋_GB2312" w:cs="仿宋_GB2312"/>
          <w:kern w:val="2"/>
          <w:sz w:val="32"/>
          <w:szCs w:val="32"/>
          <w:highlight w:val="none"/>
          <w:u w:val="none"/>
          <w:lang w:val="en-US" w:eastAsia="zh-CN" w:bidi="ar-SA"/>
        </w:rPr>
        <w:t>统筹推进、定期协调跨部门跨层级跨区域重要事项。各镇街发挥主体作用，强化责任担当，推动各项任务高效落实。</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Style w:val="7"/>
          <w:rFonts w:hint="eastAsia" w:ascii="仿宋_GB2312" w:hAnsi="仿宋_GB2312" w:eastAsia="仿宋_GB2312" w:cs="仿宋_GB2312"/>
          <w:sz w:val="32"/>
          <w:szCs w:val="32"/>
          <w:highlight w:val="none"/>
          <w:u w:val="none"/>
          <w:lang w:val="en"/>
        </w:rPr>
      </w:pPr>
      <w:r>
        <w:rPr>
          <w:rFonts w:hint="eastAsia" w:ascii="黑体" w:hAnsi="黑体" w:eastAsia="黑体" w:cs="黑体"/>
          <w:sz w:val="32"/>
          <w:szCs w:val="32"/>
          <w:highlight w:val="none"/>
          <w:u w:val="none"/>
          <w:lang w:val="en" w:eastAsia="zh-CN"/>
        </w:rPr>
        <w:t>（</w:t>
      </w:r>
      <w:r>
        <w:rPr>
          <w:rFonts w:hint="eastAsia" w:ascii="楷体" w:hAnsi="楷体" w:eastAsia="楷体" w:cs="楷体"/>
          <w:b w:val="0"/>
          <w:bCs w:val="0"/>
          <w:kern w:val="2"/>
          <w:sz w:val="32"/>
          <w:szCs w:val="32"/>
          <w:highlight w:val="none"/>
          <w:u w:val="none"/>
          <w:lang w:val="en" w:eastAsia="zh-CN" w:bidi="ar-SA"/>
        </w:rPr>
        <w:t>二）完善细则紧抓落实。</w:t>
      </w:r>
      <w:r>
        <w:rPr>
          <w:rStyle w:val="7"/>
          <w:rFonts w:hint="eastAsia" w:ascii="仿宋_GB2312" w:hAnsi="仿宋_GB2312" w:eastAsia="仿宋_GB2312" w:cs="仿宋_GB2312"/>
          <w:sz w:val="32"/>
          <w:szCs w:val="32"/>
          <w:highlight w:val="none"/>
          <w:u w:val="none"/>
          <w:lang w:val="en"/>
        </w:rPr>
        <w:t>各</w:t>
      </w:r>
      <w:r>
        <w:rPr>
          <w:rStyle w:val="7"/>
          <w:rFonts w:hint="eastAsia" w:ascii="仿宋_GB2312" w:hAnsi="仿宋_GB2312" w:eastAsia="仿宋_GB2312" w:cs="仿宋_GB2312"/>
          <w:sz w:val="32"/>
          <w:szCs w:val="32"/>
          <w:highlight w:val="none"/>
          <w:u w:val="none"/>
          <w:lang w:val="en" w:eastAsia="zh-CN"/>
        </w:rPr>
        <w:t>相关部门和镇街按照《重点工作任务分工表》（见附件</w:t>
      </w:r>
      <w:r>
        <w:rPr>
          <w:rStyle w:val="7"/>
          <w:rFonts w:hint="eastAsia" w:ascii="仿宋_GB2312" w:hAnsi="仿宋_GB2312" w:eastAsia="仿宋_GB2312" w:cs="仿宋_GB2312"/>
          <w:sz w:val="32"/>
          <w:szCs w:val="32"/>
          <w:highlight w:val="none"/>
          <w:u w:val="none"/>
          <w:lang w:val="en-US" w:eastAsia="zh-CN"/>
        </w:rPr>
        <w:t>1</w:t>
      </w:r>
      <w:r>
        <w:rPr>
          <w:rStyle w:val="7"/>
          <w:rFonts w:hint="eastAsia" w:ascii="仿宋_GB2312" w:hAnsi="仿宋_GB2312" w:eastAsia="仿宋_GB2312" w:cs="仿宋_GB2312"/>
          <w:sz w:val="32"/>
          <w:szCs w:val="32"/>
          <w:highlight w:val="none"/>
          <w:u w:val="none"/>
          <w:lang w:val="en" w:eastAsia="zh-CN"/>
        </w:rPr>
        <w:t>），</w:t>
      </w:r>
      <w:r>
        <w:rPr>
          <w:rStyle w:val="7"/>
          <w:rFonts w:hint="eastAsia" w:ascii="仿宋_GB2312" w:hAnsi="仿宋_GB2312" w:eastAsia="仿宋_GB2312" w:cs="仿宋_GB2312"/>
          <w:sz w:val="32"/>
          <w:szCs w:val="32"/>
          <w:highlight w:val="none"/>
          <w:u w:val="none"/>
          <w:lang w:val="en-US" w:eastAsia="zh-CN"/>
        </w:rPr>
        <w:t>积极抓好落实工作，</w:t>
      </w:r>
      <w:r>
        <w:rPr>
          <w:rStyle w:val="7"/>
          <w:rFonts w:hint="eastAsia" w:ascii="仿宋_GB2312" w:hAnsi="仿宋_GB2312" w:eastAsia="仿宋_GB2312" w:cs="仿宋_GB2312"/>
          <w:sz w:val="32"/>
          <w:szCs w:val="32"/>
          <w:highlight w:val="none"/>
          <w:u w:val="none"/>
          <w:lang w:val="en" w:eastAsia="zh-CN"/>
        </w:rPr>
        <w:t>在一个月内综合</w:t>
      </w:r>
      <w:r>
        <w:rPr>
          <w:rStyle w:val="7"/>
          <w:rFonts w:hint="eastAsia" w:ascii="仿宋_GB2312" w:hAnsi="仿宋_GB2312" w:eastAsia="仿宋_GB2312" w:cs="仿宋_GB2312"/>
          <w:sz w:val="32"/>
          <w:szCs w:val="32"/>
          <w:highlight w:val="none"/>
          <w:u w:val="none"/>
          <w:lang w:val="en-US" w:eastAsia="zh-CN"/>
        </w:rPr>
        <w:t>制定出台相关实施细则、工作方案或操作指引，确保各项工作流程有章可循、各项事项政策清晰明确，并做好宣传引导、政策解读工作</w:t>
      </w:r>
      <w:r>
        <w:rPr>
          <w:rStyle w:val="7"/>
          <w:rFonts w:hint="eastAsia" w:ascii="仿宋_GB2312" w:hAnsi="仿宋_GB2312" w:eastAsia="仿宋_GB2312" w:cs="仿宋_GB2312"/>
          <w:sz w:val="32"/>
          <w:szCs w:val="32"/>
          <w:highlight w:val="none"/>
          <w:u w:val="none"/>
          <w:lang w:val="en"/>
        </w:rPr>
        <w:t>。</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Style w:val="7"/>
          <w:rFonts w:hint="eastAsia" w:ascii="仿宋_GB2312" w:hAnsi="仿宋_GB2312" w:eastAsia="仿宋_GB2312" w:cs="仿宋_GB2312"/>
          <w:sz w:val="32"/>
          <w:szCs w:val="32"/>
          <w:highlight w:val="none"/>
          <w:u w:val="none"/>
          <w:lang w:val="en" w:eastAsia="zh-CN"/>
        </w:rPr>
      </w:pPr>
      <w:r>
        <w:rPr>
          <w:rFonts w:hint="eastAsia" w:ascii="楷体" w:hAnsi="楷体" w:eastAsia="楷体" w:cs="楷体"/>
          <w:b w:val="0"/>
          <w:bCs w:val="0"/>
          <w:kern w:val="2"/>
          <w:sz w:val="32"/>
          <w:szCs w:val="32"/>
          <w:highlight w:val="none"/>
          <w:u w:val="none"/>
          <w:lang w:val="en" w:eastAsia="zh-CN" w:bidi="ar-SA"/>
        </w:rPr>
        <w:t>（三）先行试点先行启动。</w:t>
      </w:r>
      <w:r>
        <w:rPr>
          <w:rStyle w:val="7"/>
          <w:rFonts w:hint="eastAsia" w:ascii="仿宋_GB2312" w:hAnsi="仿宋_GB2312" w:eastAsia="仿宋_GB2312" w:cs="仿宋_GB2312"/>
          <w:sz w:val="32"/>
          <w:szCs w:val="32"/>
          <w:highlight w:val="none"/>
          <w:u w:val="none"/>
          <w:lang w:val="en" w:eastAsia="zh-CN"/>
        </w:rPr>
        <w:t>在各镇街先行开展“工改工”试点项目，采取“一项目一方案”形式推动试点项目实施，总结经验做法后有序推广。</w:t>
      </w:r>
      <w:r>
        <w:rPr>
          <w:rStyle w:val="7"/>
          <w:rFonts w:hint="eastAsia" w:ascii="仿宋_GB2312" w:hAnsi="仿宋_GB2312" w:eastAsia="仿宋_GB2312" w:cs="仿宋_GB2312"/>
          <w:sz w:val="32"/>
          <w:szCs w:val="32"/>
          <w:highlight w:val="none"/>
          <w:u w:val="none"/>
          <w:lang w:val="en"/>
        </w:rPr>
        <w:t>各</w:t>
      </w:r>
      <w:r>
        <w:rPr>
          <w:rStyle w:val="7"/>
          <w:rFonts w:hint="eastAsia" w:ascii="仿宋_GB2312" w:hAnsi="仿宋_GB2312" w:eastAsia="仿宋_GB2312" w:cs="仿宋_GB2312"/>
          <w:sz w:val="32"/>
          <w:szCs w:val="32"/>
          <w:highlight w:val="none"/>
          <w:u w:val="none"/>
          <w:lang w:val="en" w:eastAsia="zh-CN"/>
        </w:rPr>
        <w:t>相关部门和镇街所负责工作任务，按照从易到难、从简单到复杂的步骤，确保各项工作先行启动，再逐年逐步完善和展开。</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Style w:val="7"/>
          <w:rFonts w:hint="default" w:ascii="仿宋_GB2312" w:hAnsi="仿宋_GB2312" w:eastAsia="仿宋_GB2312" w:cs="仿宋_GB2312"/>
          <w:sz w:val="32"/>
          <w:szCs w:val="32"/>
          <w:highlight w:val="none"/>
          <w:u w:val="none"/>
          <w:lang w:val="en-US" w:eastAsia="zh-CN"/>
        </w:rPr>
      </w:pPr>
      <w:r>
        <w:rPr>
          <w:rFonts w:hint="eastAsia" w:ascii="楷体" w:hAnsi="楷体" w:eastAsia="楷体" w:cs="楷体"/>
          <w:b w:val="0"/>
          <w:bCs w:val="0"/>
          <w:kern w:val="2"/>
          <w:sz w:val="32"/>
          <w:szCs w:val="32"/>
          <w:highlight w:val="none"/>
          <w:u w:val="none"/>
          <w:lang w:val="en" w:eastAsia="zh-CN" w:bidi="ar-SA"/>
        </w:rPr>
        <w:t>（四）实行目标任务考核。</w:t>
      </w:r>
      <w:r>
        <w:rPr>
          <w:rStyle w:val="7"/>
          <w:rFonts w:hint="eastAsia" w:ascii="仿宋_GB2312" w:hAnsi="仿宋_GB2312" w:eastAsia="仿宋_GB2312" w:cs="仿宋_GB2312"/>
          <w:sz w:val="32"/>
          <w:szCs w:val="32"/>
          <w:highlight w:val="none"/>
          <w:u w:val="none"/>
          <w:lang w:val="en" w:eastAsia="zh-CN"/>
        </w:rPr>
        <w:t>对开发区投资促进局、开发区科技创新局、区科工商信局设定年度引进选址存量工业用地的招商储备项目任务数，对区规划和自然资源分局和各镇街设定年度盘活存量低效产业用地的面积任务数，并均纳入年度考核内容之一，合力围绕目标任务推进存量工业用地提质增效。</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baseline"/>
        <w:rPr>
          <w:rFonts w:hint="eastAsia" w:ascii="黑体" w:hAnsi="黑体" w:eastAsia="黑体" w:cs="黑体"/>
          <w:sz w:val="32"/>
          <w:szCs w:val="32"/>
          <w:highlight w:val="none"/>
          <w:u w:val="none"/>
          <w:lang w:val="en" w:eastAsia="zh-CN"/>
        </w:rPr>
      </w:pPr>
      <w:r>
        <w:rPr>
          <w:rFonts w:hint="eastAsia" w:ascii="黑体" w:hAnsi="黑体" w:eastAsia="黑体" w:cs="黑体"/>
          <w:sz w:val="32"/>
          <w:szCs w:val="32"/>
          <w:highlight w:val="none"/>
          <w:u w:val="none"/>
          <w:lang w:val="en" w:eastAsia="zh-CN"/>
        </w:rPr>
        <w:t>六、其他</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Style w:val="7"/>
          <w:rFonts w:hint="default" w:ascii="仿宋_GB2312" w:hAnsi="仿宋_GB2312" w:eastAsia="仿宋_GB2312" w:cs="仿宋_GB2312"/>
          <w:sz w:val="32"/>
          <w:szCs w:val="32"/>
          <w:highlight w:val="none"/>
          <w:u w:val="none"/>
          <w:lang w:eastAsia="zh-CN"/>
        </w:rPr>
      </w:pPr>
      <w:r>
        <w:rPr>
          <w:rFonts w:hint="default" w:ascii="仿宋_GB2312" w:hAnsi="仿宋_GB2312" w:eastAsia="仿宋_GB2312" w:cs="仿宋_GB2312"/>
          <w:color w:val="auto"/>
          <w:sz w:val="32"/>
          <w:szCs w:val="32"/>
          <w:highlight w:val="none"/>
          <w:lang w:val="en" w:eastAsia="zh-CN"/>
        </w:rPr>
        <w:t>（</w:t>
      </w:r>
      <w:r>
        <w:rPr>
          <w:rFonts w:hint="default"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lang w:eastAsia="zh-CN"/>
        </w:rPr>
        <w:t>本</w:t>
      </w:r>
      <w:r>
        <w:rPr>
          <w:rFonts w:hint="default" w:ascii="仿宋_GB2312" w:hAnsi="仿宋_GB2312" w:eastAsia="仿宋_GB2312" w:cs="仿宋_GB2312"/>
          <w:color w:val="auto"/>
          <w:sz w:val="32"/>
          <w:szCs w:val="32"/>
          <w:highlight w:val="none"/>
          <w:lang w:eastAsia="zh-CN"/>
        </w:rPr>
        <w:t>办法支持政策中</w:t>
      </w:r>
      <w:r>
        <w:rPr>
          <w:rFonts w:hint="eastAsia" w:ascii="仿宋_GB2312" w:hAnsi="仿宋_GB2312" w:eastAsia="仿宋_GB2312" w:cs="仿宋_GB2312"/>
          <w:color w:val="auto"/>
          <w:sz w:val="32"/>
          <w:szCs w:val="32"/>
          <w:highlight w:val="none"/>
          <w:lang w:eastAsia="zh-CN"/>
        </w:rPr>
        <w:t>的招商项目奖励、达标贡献奖励、搬迁租金补助、村改招商奖励不</w:t>
      </w:r>
      <w:r>
        <w:rPr>
          <w:rStyle w:val="7"/>
          <w:rFonts w:hint="eastAsia" w:ascii="仿宋_GB2312" w:hAnsi="仿宋_GB2312" w:eastAsia="仿宋_GB2312" w:cs="仿宋_GB2312"/>
          <w:sz w:val="32"/>
          <w:szCs w:val="32"/>
          <w:highlight w:val="none"/>
          <w:u w:val="none"/>
          <w:lang w:val="en-US" w:eastAsia="zh-CN"/>
        </w:rPr>
        <w:t>予</w:t>
      </w:r>
      <w:r>
        <w:rPr>
          <w:rFonts w:hint="eastAsia" w:ascii="仿宋_GB2312" w:hAnsi="仿宋_GB2312" w:eastAsia="仿宋_GB2312" w:cs="仿宋_GB2312"/>
          <w:color w:val="auto"/>
          <w:sz w:val="32"/>
          <w:szCs w:val="32"/>
          <w:highlight w:val="none"/>
          <w:lang w:eastAsia="zh-CN"/>
        </w:rPr>
        <w:t>重复享受。</w:t>
      </w:r>
      <w:r>
        <w:rPr>
          <w:rStyle w:val="7"/>
          <w:rFonts w:hint="eastAsia" w:ascii="仿宋_GB2312" w:hAnsi="仿宋_GB2312" w:eastAsia="仿宋_GB2312" w:cs="仿宋_GB2312"/>
          <w:sz w:val="32"/>
          <w:szCs w:val="32"/>
          <w:highlight w:val="none"/>
          <w:u w:val="none"/>
          <w:lang w:val="en-US" w:eastAsia="zh-CN"/>
        </w:rPr>
        <w:t>同时符合</w:t>
      </w:r>
      <w:r>
        <w:rPr>
          <w:rStyle w:val="7"/>
          <w:rFonts w:hint="default" w:ascii="仿宋_GB2312" w:hAnsi="仿宋_GB2312" w:eastAsia="仿宋_GB2312" w:cs="仿宋_GB2312"/>
          <w:sz w:val="32"/>
          <w:szCs w:val="32"/>
          <w:highlight w:val="none"/>
          <w:u w:val="none"/>
          <w:lang w:eastAsia="zh-CN"/>
        </w:rPr>
        <w:t>我</w:t>
      </w:r>
      <w:r>
        <w:rPr>
          <w:rStyle w:val="7"/>
          <w:rFonts w:hint="eastAsia" w:ascii="仿宋_GB2312" w:hAnsi="仿宋_GB2312" w:eastAsia="仿宋_GB2312" w:cs="仿宋_GB2312"/>
          <w:sz w:val="32"/>
          <w:szCs w:val="32"/>
          <w:highlight w:val="none"/>
          <w:u w:val="none"/>
          <w:lang w:val="en-US" w:eastAsia="zh-CN"/>
        </w:rPr>
        <w:t>区内其他政策</w:t>
      </w:r>
      <w:r>
        <w:rPr>
          <w:rStyle w:val="7"/>
          <w:rFonts w:hint="default" w:ascii="仿宋_GB2312" w:hAnsi="仿宋_GB2312" w:eastAsia="仿宋_GB2312" w:cs="仿宋_GB2312"/>
          <w:sz w:val="32"/>
          <w:szCs w:val="32"/>
          <w:highlight w:val="none"/>
          <w:u w:val="none"/>
          <w:lang w:eastAsia="zh-CN"/>
        </w:rPr>
        <w:t>规定</w:t>
      </w:r>
      <w:r>
        <w:rPr>
          <w:rStyle w:val="7"/>
          <w:rFonts w:hint="eastAsia" w:ascii="仿宋_GB2312" w:hAnsi="仿宋_GB2312" w:eastAsia="仿宋_GB2312" w:cs="仿宋_GB2312"/>
          <w:sz w:val="32"/>
          <w:szCs w:val="32"/>
          <w:highlight w:val="none"/>
          <w:u w:val="none"/>
          <w:lang w:val="en-US" w:eastAsia="zh-CN"/>
        </w:rPr>
        <w:t>的，按照就高不重复原则予以支持，另有规定的除外。</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Style w:val="7"/>
          <w:rFonts w:hint="eastAsia" w:ascii="仿宋_GB2312" w:hAnsi="仿宋_GB2312" w:eastAsia="仿宋_GB2312" w:cs="仿宋_GB2312"/>
          <w:sz w:val="32"/>
          <w:szCs w:val="32"/>
          <w:highlight w:val="none"/>
          <w:u w:val="none"/>
          <w:lang w:val="en-US" w:eastAsia="zh-CN"/>
        </w:rPr>
      </w:pPr>
      <w:r>
        <w:rPr>
          <w:rStyle w:val="7"/>
          <w:rFonts w:hint="default" w:ascii="仿宋_GB2312" w:hAnsi="仿宋_GB2312" w:eastAsia="仿宋_GB2312" w:cs="仿宋_GB2312"/>
          <w:sz w:val="32"/>
          <w:szCs w:val="32"/>
          <w:highlight w:val="none"/>
          <w:u w:val="none"/>
        </w:rPr>
        <w:t>（二）</w:t>
      </w:r>
      <w:r>
        <w:rPr>
          <w:rStyle w:val="7"/>
          <w:rFonts w:hint="eastAsia" w:ascii="仿宋_GB2312" w:hAnsi="仿宋_GB2312" w:eastAsia="仿宋_GB2312" w:cs="仿宋_GB2312"/>
          <w:sz w:val="32"/>
          <w:szCs w:val="32"/>
          <w:highlight w:val="none"/>
          <w:u w:val="none"/>
          <w:lang w:val="en"/>
        </w:rPr>
        <w:t>本</w:t>
      </w:r>
      <w:r>
        <w:rPr>
          <w:rStyle w:val="7"/>
          <w:rFonts w:hint="eastAsia" w:ascii="仿宋_GB2312" w:hAnsi="仿宋_GB2312" w:eastAsia="仿宋_GB2312" w:cs="仿宋_GB2312"/>
          <w:sz w:val="32"/>
          <w:szCs w:val="32"/>
          <w:highlight w:val="none"/>
          <w:u w:val="none"/>
          <w:lang w:val="en" w:eastAsia="zh-CN"/>
        </w:rPr>
        <w:t>办法</w:t>
      </w:r>
      <w:r>
        <w:rPr>
          <w:rStyle w:val="7"/>
          <w:rFonts w:hint="eastAsia" w:ascii="仿宋_GB2312" w:hAnsi="仿宋_GB2312" w:eastAsia="仿宋_GB2312" w:cs="仿宋_GB2312"/>
          <w:sz w:val="32"/>
          <w:szCs w:val="32"/>
          <w:highlight w:val="none"/>
          <w:u w:val="none"/>
          <w:lang w:val="en"/>
        </w:rPr>
        <w:t>自</w:t>
      </w:r>
      <w:r>
        <w:rPr>
          <w:rStyle w:val="7"/>
          <w:rFonts w:hint="eastAsia" w:ascii="仿宋_GB2312" w:hAnsi="仿宋_GB2312" w:eastAsia="仿宋_GB2312" w:cs="仿宋_GB2312"/>
          <w:sz w:val="32"/>
          <w:szCs w:val="32"/>
          <w:highlight w:val="none"/>
          <w:u w:val="none"/>
          <w:lang w:val="en" w:eastAsia="zh-CN"/>
        </w:rPr>
        <w:t>发布</w:t>
      </w:r>
      <w:r>
        <w:rPr>
          <w:rStyle w:val="7"/>
          <w:rFonts w:hint="eastAsia" w:ascii="仿宋_GB2312" w:hAnsi="仿宋_GB2312" w:eastAsia="仿宋_GB2312" w:cs="仿宋_GB2312"/>
          <w:sz w:val="32"/>
          <w:szCs w:val="32"/>
          <w:highlight w:val="none"/>
          <w:u w:val="none"/>
          <w:lang w:val="en"/>
        </w:rPr>
        <w:t>之日起实施，有效期至</w:t>
      </w:r>
      <w:r>
        <w:rPr>
          <w:rStyle w:val="7"/>
          <w:rFonts w:hint="eastAsia" w:ascii="仿宋_GB2312" w:hAnsi="仿宋_GB2312" w:eastAsia="仿宋_GB2312" w:cs="仿宋_GB2312"/>
          <w:sz w:val="32"/>
          <w:szCs w:val="32"/>
          <w:highlight w:val="none"/>
          <w:u w:val="none"/>
          <w:lang w:val="en-US" w:eastAsia="zh-CN"/>
        </w:rPr>
        <w:t>2025</w:t>
      </w:r>
      <w:r>
        <w:rPr>
          <w:rStyle w:val="7"/>
          <w:rFonts w:hint="eastAsia" w:ascii="仿宋_GB2312" w:hAnsi="仿宋_GB2312" w:eastAsia="仿宋_GB2312" w:cs="仿宋_GB2312"/>
          <w:sz w:val="32"/>
          <w:szCs w:val="32"/>
          <w:highlight w:val="none"/>
          <w:u w:val="none"/>
          <w:lang w:val="en"/>
        </w:rPr>
        <w:t>年12月31日</w:t>
      </w:r>
      <w:r>
        <w:rPr>
          <w:rStyle w:val="7"/>
          <w:rFonts w:hint="eastAsia" w:ascii="仿宋_GB2312" w:hAnsi="仿宋_GB2312" w:eastAsia="仿宋_GB2312" w:cs="仿宋_GB2312"/>
          <w:sz w:val="32"/>
          <w:szCs w:val="32"/>
          <w:highlight w:val="none"/>
          <w:u w:val="none"/>
          <w:lang w:val="en" w:eastAsia="zh-CN"/>
        </w:rPr>
        <w:t>；</w:t>
      </w:r>
      <w:r>
        <w:rPr>
          <w:rFonts w:hint="eastAsia" w:ascii="仿宋_GB2312" w:hAnsi="仿宋_GB2312" w:eastAsia="仿宋_GB2312" w:cs="仿宋_GB2312"/>
          <w:color w:val="auto"/>
          <w:sz w:val="32"/>
          <w:szCs w:val="32"/>
          <w:highlight w:val="none"/>
          <w:lang w:val="en-US" w:eastAsia="zh-CN"/>
        </w:rPr>
        <w:t>有效期</w:t>
      </w:r>
      <w:r>
        <w:rPr>
          <w:rStyle w:val="7"/>
          <w:rFonts w:hint="eastAsia" w:ascii="仿宋_GB2312" w:hAnsi="仿宋_GB2312" w:eastAsia="仿宋_GB2312" w:cs="仿宋_GB2312"/>
          <w:sz w:val="32"/>
          <w:szCs w:val="32"/>
          <w:highlight w:val="none"/>
          <w:u w:val="none"/>
          <w:lang w:val="en-US" w:eastAsia="zh-CN"/>
        </w:rPr>
        <w:t>后仍需兑现的支持政策，将延续执行完毕。</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Style w:val="7"/>
          <w:rFonts w:hint="eastAsia" w:ascii="仿宋_GB2312" w:hAnsi="仿宋_GB2312" w:eastAsia="仿宋_GB2312" w:cs="仿宋_GB2312"/>
          <w:sz w:val="32"/>
          <w:szCs w:val="32"/>
          <w:highlight w:val="none"/>
          <w:u w:val="none"/>
          <w:lang w:val="en"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Style w:val="7"/>
          <w:rFonts w:hint="eastAsia" w:ascii="仿宋_GB2312" w:hAnsi="仿宋_GB2312" w:eastAsia="仿宋_GB2312" w:cs="仿宋_GB2312"/>
          <w:sz w:val="32"/>
          <w:szCs w:val="32"/>
          <w:highlight w:val="none"/>
          <w:u w:val="none"/>
          <w:lang w:val="en" w:eastAsia="zh-CN"/>
        </w:rPr>
      </w:pPr>
      <w:r>
        <w:rPr>
          <w:rStyle w:val="7"/>
          <w:rFonts w:hint="eastAsia" w:ascii="仿宋_GB2312" w:hAnsi="仿宋_GB2312" w:eastAsia="仿宋_GB2312" w:cs="仿宋_GB2312"/>
          <w:sz w:val="32"/>
          <w:szCs w:val="32"/>
          <w:highlight w:val="none"/>
          <w:u w:val="none"/>
          <w:lang w:val="en" w:eastAsia="zh-CN"/>
        </w:rPr>
        <w:t>附件：</w:t>
      </w:r>
      <w:r>
        <w:rPr>
          <w:rStyle w:val="7"/>
          <w:rFonts w:hint="eastAsia" w:ascii="仿宋_GB2312" w:hAnsi="仿宋_GB2312" w:eastAsia="仿宋_GB2312" w:cs="仿宋_GB2312"/>
          <w:sz w:val="32"/>
          <w:szCs w:val="32"/>
          <w:highlight w:val="none"/>
          <w:u w:val="none"/>
          <w:lang w:val="en-US" w:eastAsia="zh-CN"/>
        </w:rPr>
        <w:t>1.</w:t>
      </w:r>
      <w:r>
        <w:rPr>
          <w:rStyle w:val="7"/>
          <w:rFonts w:hint="eastAsia" w:ascii="仿宋_GB2312" w:hAnsi="仿宋_GB2312" w:eastAsia="仿宋_GB2312" w:cs="仿宋_GB2312"/>
          <w:sz w:val="32"/>
          <w:szCs w:val="32"/>
          <w:highlight w:val="none"/>
          <w:u w:val="none"/>
          <w:lang w:val="en" w:eastAsia="zh-CN"/>
        </w:rPr>
        <w:t>重点工作责任分工表</w:t>
      </w:r>
    </w:p>
    <w:p>
      <w:pPr>
        <w:keepNext w:val="0"/>
        <w:keepLines w:val="0"/>
        <w:pageBreakBefore w:val="0"/>
        <w:widowControl w:val="0"/>
        <w:kinsoku/>
        <w:wordWrap/>
        <w:overflowPunct/>
        <w:topLinePunct w:val="0"/>
        <w:autoSpaceDE/>
        <w:autoSpaceDN/>
        <w:bidi w:val="0"/>
        <w:adjustRightInd/>
        <w:snapToGrid w:val="0"/>
        <w:spacing w:line="570" w:lineRule="exact"/>
        <w:ind w:firstLine="1600" w:firstLineChars="500"/>
        <w:textAlignment w:val="auto"/>
        <w:rPr>
          <w:rStyle w:val="7"/>
          <w:rFonts w:hint="default" w:ascii="仿宋_GB2312" w:hAnsi="仿宋_GB2312" w:eastAsia="仿宋_GB2312" w:cs="仿宋_GB2312"/>
          <w:sz w:val="32"/>
          <w:szCs w:val="32"/>
          <w:highlight w:val="none"/>
          <w:u w:val="none"/>
          <w:lang w:val="en-US" w:eastAsia="zh-CN"/>
        </w:rPr>
      </w:pPr>
      <w:r>
        <w:rPr>
          <w:rStyle w:val="7"/>
          <w:rFonts w:hint="eastAsia" w:ascii="仿宋_GB2312" w:hAnsi="仿宋_GB2312" w:eastAsia="仿宋_GB2312" w:cs="仿宋_GB2312"/>
          <w:sz w:val="32"/>
          <w:szCs w:val="32"/>
          <w:highlight w:val="none"/>
          <w:u w:val="none"/>
          <w:lang w:val="en-US" w:eastAsia="zh-CN"/>
        </w:rPr>
        <w:t>2.“工改工”项目实施指引</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Style w:val="7"/>
          <w:rFonts w:hint="eastAsia" w:ascii="仿宋_GB2312" w:hAnsi="仿宋_GB2312" w:eastAsia="仿宋_GB2312" w:cs="仿宋_GB2312"/>
          <w:sz w:val="32"/>
          <w:szCs w:val="32"/>
          <w:highlight w:val="none"/>
          <w:u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Style w:val="7"/>
          <w:rFonts w:hint="eastAsia" w:ascii="黑体" w:hAnsi="黑体" w:eastAsia="黑体" w:cs="黑体"/>
          <w:sz w:val="32"/>
          <w:szCs w:val="32"/>
          <w:highlight w:val="none"/>
          <w:u w:val="none"/>
          <w:lang w:val="en" w:eastAsia="zh-CN"/>
        </w:rPr>
      </w:pPr>
      <w:r>
        <w:rPr>
          <w:rStyle w:val="7"/>
          <w:rFonts w:hint="eastAsia" w:ascii="黑体" w:hAnsi="黑体" w:eastAsia="黑体" w:cs="黑体"/>
          <w:sz w:val="32"/>
          <w:szCs w:val="32"/>
          <w:highlight w:val="none"/>
          <w:u w:val="none"/>
          <w:lang w:val="en" w:eastAsia="zh-CN"/>
        </w:rPr>
        <w:t>附件</w:t>
      </w:r>
      <w:r>
        <w:rPr>
          <w:rStyle w:val="7"/>
          <w:rFonts w:hint="eastAsia" w:ascii="黑体" w:hAnsi="黑体" w:eastAsia="黑体" w:cs="黑体"/>
          <w:sz w:val="32"/>
          <w:szCs w:val="32"/>
          <w:highlight w:val="none"/>
          <w:u w:val="none"/>
          <w:lang w:val="en-US" w:eastAsia="zh-CN"/>
        </w:rPr>
        <w:t>1</w:t>
      </w:r>
    </w:p>
    <w:p>
      <w:pPr>
        <w:pStyle w:val="2"/>
        <w:rPr>
          <w:rFonts w:hint="eastAsia"/>
          <w:highlight w:val="none"/>
          <w:lang w:val="en" w:eastAsia="zh-CN"/>
        </w:rPr>
      </w:pPr>
    </w:p>
    <w:p>
      <w:pPr>
        <w:pStyle w:val="2"/>
        <w:keepNext w:val="0"/>
        <w:keepLines w:val="0"/>
        <w:pageBreakBefore w:val="0"/>
        <w:widowControl w:val="0"/>
        <w:kinsoku/>
        <w:wordWrap/>
        <w:overflowPunct/>
        <w:topLinePunct w:val="0"/>
        <w:autoSpaceDE/>
        <w:autoSpaceDN/>
        <w:bidi w:val="0"/>
        <w:adjustRightInd/>
        <w:snapToGrid w:val="0"/>
        <w:spacing w:line="570" w:lineRule="exact"/>
        <w:ind w:left="0" w:leftChars="0" w:firstLine="0" w:firstLineChars="0"/>
        <w:jc w:val="center"/>
        <w:textAlignment w:val="auto"/>
        <w:rPr>
          <w:rStyle w:val="7"/>
          <w:rFonts w:hint="eastAsia" w:ascii="方正小标宋简体" w:hAnsi="方正小标宋简体" w:eastAsia="方正小标宋简体" w:cs="方正小标宋简体"/>
          <w:sz w:val="44"/>
          <w:szCs w:val="44"/>
          <w:highlight w:val="none"/>
          <w:u w:val="none"/>
          <w:lang w:val="en" w:eastAsia="zh-CN"/>
        </w:rPr>
      </w:pPr>
      <w:r>
        <w:rPr>
          <w:rStyle w:val="7"/>
          <w:rFonts w:hint="eastAsia" w:ascii="方正小标宋简体" w:hAnsi="方正小标宋简体" w:eastAsia="方正小标宋简体" w:cs="方正小标宋简体"/>
          <w:sz w:val="44"/>
          <w:szCs w:val="44"/>
          <w:highlight w:val="none"/>
          <w:u w:val="none"/>
          <w:lang w:val="en-US" w:eastAsia="zh-CN"/>
        </w:rPr>
        <w:t>重点工作</w:t>
      </w:r>
      <w:r>
        <w:rPr>
          <w:rStyle w:val="7"/>
          <w:rFonts w:hint="eastAsia" w:ascii="方正小标宋简体" w:hAnsi="方正小标宋简体" w:eastAsia="方正小标宋简体" w:cs="方正小标宋简体"/>
          <w:sz w:val="44"/>
          <w:szCs w:val="44"/>
          <w:highlight w:val="none"/>
          <w:u w:val="none"/>
          <w:lang w:val="en" w:eastAsia="zh-CN"/>
        </w:rPr>
        <w:t>责任分工表</w:t>
      </w:r>
    </w:p>
    <w:p>
      <w:pPr>
        <w:rPr>
          <w:rFonts w:hint="eastAsia"/>
          <w:highlight w:val="none"/>
          <w:lang w:val="en" w:eastAsia="zh-CN"/>
        </w:rPr>
      </w:pPr>
    </w:p>
    <w:tbl>
      <w:tblPr>
        <w:tblStyle w:val="5"/>
        <w:tblpPr w:leftFromText="180" w:rightFromText="180" w:vertAnchor="text" w:horzAnchor="page" w:tblpX="1875" w:tblpY="308"/>
        <w:tblOverlap w:val="never"/>
        <w:tblW w:w="839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4"/>
        <w:gridCol w:w="1287"/>
        <w:gridCol w:w="154"/>
        <w:gridCol w:w="2213"/>
        <w:gridCol w:w="1845"/>
        <w:gridCol w:w="21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序号</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重点工作任务</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牵头单位</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配合单位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1"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1</w:t>
            </w:r>
          </w:p>
        </w:tc>
        <w:tc>
          <w:tcPr>
            <w:tcW w:w="1287"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cstheme="minorEastAsia"/>
                <w:i w:val="0"/>
                <w:color w:val="000000"/>
                <w:kern w:val="0"/>
                <w:sz w:val="24"/>
                <w:szCs w:val="24"/>
                <w:highlight w:val="none"/>
                <w:u w:val="none"/>
                <w:lang w:val="en" w:eastAsia="zh-CN" w:bidi="ar"/>
              </w:rPr>
              <w:t>全区</w:t>
            </w:r>
            <w:r>
              <w:rPr>
                <w:rFonts w:hint="eastAsia" w:asciiTheme="minorEastAsia" w:hAnsiTheme="minorEastAsia" w:eastAsiaTheme="minorEastAsia" w:cstheme="minorEastAsia"/>
                <w:i w:val="0"/>
                <w:color w:val="000000"/>
                <w:kern w:val="0"/>
                <w:sz w:val="24"/>
                <w:szCs w:val="24"/>
                <w:highlight w:val="none"/>
                <w:u w:val="none"/>
                <w:lang w:val="en" w:eastAsia="zh-CN" w:bidi="ar"/>
              </w:rPr>
              <w:t>存量工业用地</w:t>
            </w:r>
            <w:r>
              <w:rPr>
                <w:rFonts w:hint="eastAsia" w:asciiTheme="minorEastAsia" w:hAnsiTheme="minorEastAsia" w:cstheme="minorEastAsia"/>
                <w:i w:val="0"/>
                <w:color w:val="000000"/>
                <w:kern w:val="0"/>
                <w:sz w:val="24"/>
                <w:szCs w:val="24"/>
                <w:highlight w:val="none"/>
                <w:u w:val="none"/>
                <w:lang w:val="en" w:eastAsia="zh-CN" w:bidi="ar"/>
              </w:rPr>
              <w:t>综合</w:t>
            </w:r>
            <w:r>
              <w:rPr>
                <w:rFonts w:hint="eastAsia" w:asciiTheme="minorEastAsia" w:hAnsiTheme="minorEastAsia" w:eastAsiaTheme="minorEastAsia" w:cstheme="minorEastAsia"/>
                <w:i w:val="0"/>
                <w:color w:val="000000"/>
                <w:kern w:val="0"/>
                <w:sz w:val="24"/>
                <w:szCs w:val="24"/>
                <w:highlight w:val="none"/>
                <w:u w:val="none"/>
                <w:lang w:val="en" w:eastAsia="zh-CN" w:bidi="ar"/>
              </w:rPr>
              <w:t>管理</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建设企业（土地）综合信息服务平台</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区政数局、区规划和自然资源分局、各涉企数据业务部门、各镇街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3"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2</w:t>
            </w:r>
          </w:p>
        </w:tc>
        <w:tc>
          <w:tcPr>
            <w:tcW w:w="128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jc w:val="both"/>
              <w:rPr>
                <w:rFonts w:hint="eastAsia" w:asciiTheme="minorEastAsia" w:hAnsiTheme="minorEastAsia" w:eastAsiaTheme="minorEastAsia" w:cstheme="minorEastAsia"/>
                <w:i w:val="0"/>
                <w:color w:val="000000"/>
                <w:sz w:val="24"/>
                <w:szCs w:val="24"/>
                <w:highlight w:val="none"/>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建立企业诉求集中受理、分发处理和跟踪反馈机制</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开发区企业服务局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各业务主管部门、各镇街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3"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3</w:t>
            </w:r>
          </w:p>
        </w:tc>
        <w:tc>
          <w:tcPr>
            <w:tcW w:w="1287"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sz w:val="24"/>
                <w:szCs w:val="24"/>
                <w:highlight w:val="none"/>
                <w:u w:val="none"/>
              </w:rPr>
            </w:pPr>
          </w:p>
        </w:tc>
        <w:tc>
          <w:tcPr>
            <w:tcW w:w="2367"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开展</w:t>
            </w:r>
            <w:r>
              <w:rPr>
                <w:rFonts w:hint="eastAsia" w:asciiTheme="minorEastAsia" w:hAnsiTheme="minorEastAsia" w:cstheme="minorEastAsia"/>
                <w:i w:val="0"/>
                <w:color w:val="000000"/>
                <w:kern w:val="0"/>
                <w:sz w:val="24"/>
                <w:szCs w:val="24"/>
                <w:highlight w:val="none"/>
                <w:u w:val="none"/>
                <w:lang w:val="en-US" w:eastAsia="zh-CN" w:bidi="ar"/>
              </w:rPr>
              <w:t>存量工业用地</w:t>
            </w:r>
            <w:r>
              <w:rPr>
                <w:rFonts w:hint="eastAsia" w:asciiTheme="minorEastAsia" w:hAnsiTheme="minorEastAsia" w:eastAsiaTheme="minorEastAsia" w:cstheme="minorEastAsia"/>
                <w:i w:val="0"/>
                <w:color w:val="000000"/>
                <w:kern w:val="0"/>
                <w:sz w:val="24"/>
                <w:szCs w:val="24"/>
                <w:highlight w:val="none"/>
                <w:u w:val="none"/>
                <w:lang w:val="en-US" w:eastAsia="zh-CN" w:bidi="ar"/>
              </w:rPr>
              <w:t>（企业）亩产效益综合评价</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区规划和自然资源分局、各镇街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4</w:t>
            </w:r>
          </w:p>
        </w:tc>
        <w:tc>
          <w:tcPr>
            <w:tcW w:w="1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sz w:val="24"/>
                <w:szCs w:val="24"/>
                <w:highlight w:val="none"/>
                <w:u w:val="none"/>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规范土地厂房租赁市场</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区住建局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区科工商信局、区政数局、区规划和自然资源分局、各镇街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2"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sz w:val="24"/>
                <w:szCs w:val="24"/>
                <w:highlight w:val="none"/>
                <w:u w:val="none"/>
                <w:lang w:val="en-US" w:eastAsia="zh-CN"/>
              </w:rPr>
              <w:t>5</w:t>
            </w:r>
          </w:p>
        </w:tc>
        <w:tc>
          <w:tcPr>
            <w:tcW w:w="12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cstheme="minorEastAsia"/>
                <w:i w:val="0"/>
                <w:color w:val="000000"/>
                <w:kern w:val="0"/>
                <w:sz w:val="24"/>
                <w:szCs w:val="24"/>
                <w:highlight w:val="none"/>
                <w:u w:val="none"/>
                <w:lang w:val="en-US" w:eastAsia="zh-CN" w:bidi="ar"/>
              </w:rPr>
              <w:t>存量工业用地分类管理</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闲置工业用地</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区规划和自然资源分局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sz w:val="24"/>
                <w:szCs w:val="24"/>
                <w:highlight w:val="none"/>
                <w:u w:val="none"/>
              </w:rPr>
            </w:pPr>
            <w:r>
              <w:rPr>
                <w:rFonts w:hint="eastAsia" w:asciiTheme="minorEastAsia" w:hAnsiTheme="minorEastAsia" w:cstheme="minorEastAsia"/>
                <w:i w:val="0"/>
                <w:color w:val="000000"/>
                <w:kern w:val="0"/>
                <w:sz w:val="24"/>
                <w:szCs w:val="24"/>
                <w:highlight w:val="none"/>
                <w:u w:val="none"/>
                <w:lang w:val="en-US" w:eastAsia="zh-CN" w:bidi="ar"/>
              </w:rPr>
              <w:t>区科工商信局、</w:t>
            </w:r>
            <w:r>
              <w:rPr>
                <w:rFonts w:hint="default" w:asciiTheme="minorEastAsia" w:hAnsiTheme="minorEastAsia" w:cstheme="minorEastAsia"/>
                <w:i w:val="0"/>
                <w:color w:val="000000"/>
                <w:kern w:val="0"/>
                <w:sz w:val="24"/>
                <w:szCs w:val="24"/>
                <w:highlight w:val="none"/>
                <w:u w:val="none"/>
                <w:lang w:val="en-US" w:eastAsia="zh-CN" w:bidi="ar"/>
              </w:rPr>
              <w:t>开发区企业服务局、</w:t>
            </w:r>
            <w:r>
              <w:rPr>
                <w:rFonts w:hint="eastAsia" w:asciiTheme="minorEastAsia" w:hAnsiTheme="minorEastAsia" w:cstheme="minorEastAsia"/>
                <w:i w:val="0"/>
                <w:color w:val="000000"/>
                <w:kern w:val="0"/>
                <w:sz w:val="24"/>
                <w:szCs w:val="24"/>
                <w:highlight w:val="none"/>
                <w:u w:val="none"/>
                <w:lang w:val="en-US" w:eastAsia="zh-CN" w:bidi="ar"/>
              </w:rPr>
              <w:t>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6"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eastAsiaTheme="minorEastAsia" w:cstheme="minorEastAsia"/>
                <w:i w:val="0"/>
                <w:color w:val="000000"/>
                <w:sz w:val="24"/>
                <w:szCs w:val="24"/>
                <w:highlight w:val="none"/>
                <w:u w:val="none"/>
                <w:lang w:val="en-US" w:eastAsia="zh-CN"/>
              </w:rPr>
            </w:pPr>
            <w:r>
              <w:rPr>
                <w:rFonts w:hint="eastAsia" w:asciiTheme="minorEastAsia" w:hAnsiTheme="minorEastAsia" w:eastAsiaTheme="minorEastAsia" w:cstheme="minorEastAsia"/>
                <w:i w:val="0"/>
                <w:color w:val="000000"/>
                <w:sz w:val="24"/>
                <w:szCs w:val="24"/>
                <w:highlight w:val="none"/>
                <w:u w:val="none"/>
                <w:lang w:val="en-US" w:eastAsia="zh-CN"/>
              </w:rPr>
              <w:t>6</w:t>
            </w:r>
          </w:p>
        </w:tc>
        <w:tc>
          <w:tcPr>
            <w:tcW w:w="1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低效工业用地</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区发改局</w:t>
            </w:r>
            <w:r>
              <w:rPr>
                <w:rFonts w:hint="eastAsia" w:asciiTheme="minorEastAsia" w:hAnsiTheme="minorEastAsia" w:cstheme="minorEastAsia"/>
                <w:i w:val="0"/>
                <w:color w:val="000000"/>
                <w:kern w:val="0"/>
                <w:sz w:val="24"/>
                <w:szCs w:val="24"/>
                <w:highlight w:val="none"/>
                <w:u w:val="none"/>
                <w:lang w:val="en-US" w:eastAsia="zh-CN" w:bidi="ar"/>
              </w:rPr>
              <w:t>、</w:t>
            </w:r>
            <w:r>
              <w:rPr>
                <w:rFonts w:hint="eastAsia" w:asciiTheme="minorEastAsia" w:hAnsiTheme="minorEastAsia" w:eastAsiaTheme="minorEastAsia" w:cstheme="minorEastAsia"/>
                <w:i w:val="0"/>
                <w:color w:val="000000"/>
                <w:kern w:val="0"/>
                <w:sz w:val="24"/>
                <w:szCs w:val="24"/>
                <w:highlight w:val="none"/>
                <w:u w:val="none"/>
                <w:lang w:val="en-US" w:eastAsia="zh-CN" w:bidi="ar"/>
              </w:rPr>
              <w:t>开发区企业服务局</w:t>
            </w:r>
            <w:r>
              <w:rPr>
                <w:rFonts w:hint="eastAsia" w:asciiTheme="minorEastAsia" w:hAnsiTheme="minorEastAsia" w:cstheme="minorEastAsia"/>
                <w:i w:val="0"/>
                <w:color w:val="000000"/>
                <w:kern w:val="0"/>
                <w:sz w:val="24"/>
                <w:szCs w:val="24"/>
                <w:highlight w:val="none"/>
                <w:u w:val="none"/>
                <w:lang w:val="en-US" w:eastAsia="zh-CN" w:bidi="ar"/>
              </w:rPr>
              <w:t>、</w:t>
            </w:r>
            <w:r>
              <w:rPr>
                <w:rFonts w:hint="eastAsia" w:asciiTheme="minorEastAsia" w:hAnsiTheme="minorEastAsia" w:eastAsiaTheme="minorEastAsia" w:cstheme="minorEastAsia"/>
                <w:i w:val="0"/>
                <w:color w:val="000000"/>
                <w:kern w:val="0"/>
                <w:sz w:val="24"/>
                <w:szCs w:val="24"/>
                <w:highlight w:val="none"/>
                <w:u w:val="none"/>
                <w:lang w:val="en-US" w:eastAsia="zh-CN" w:bidi="ar"/>
              </w:rPr>
              <w:t>区规划和自然资源分局</w:t>
            </w:r>
            <w:r>
              <w:rPr>
                <w:rFonts w:hint="eastAsia" w:asciiTheme="minorEastAsia" w:hAnsiTheme="minorEastAsia" w:cstheme="minorEastAsia"/>
                <w:i w:val="0"/>
                <w:color w:val="000000"/>
                <w:kern w:val="0"/>
                <w:sz w:val="24"/>
                <w:szCs w:val="24"/>
                <w:highlight w:val="none"/>
                <w:u w:val="none"/>
                <w:lang w:val="en-US" w:eastAsia="zh-CN" w:bidi="ar"/>
              </w:rPr>
              <w:t>、</w:t>
            </w:r>
            <w:r>
              <w:rPr>
                <w:rFonts w:hint="eastAsia" w:asciiTheme="minorEastAsia" w:hAnsiTheme="minorEastAsia" w:eastAsiaTheme="minorEastAsia" w:cstheme="minorEastAsia"/>
                <w:i w:val="0"/>
                <w:color w:val="000000"/>
                <w:kern w:val="0"/>
                <w:sz w:val="24"/>
                <w:szCs w:val="24"/>
                <w:highlight w:val="none"/>
                <w:u w:val="none"/>
                <w:lang w:val="en-US" w:eastAsia="zh-CN" w:bidi="ar"/>
              </w:rPr>
              <w:t>区供电局、各镇街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eastAsiaTheme="minorEastAsia" w:cstheme="minorEastAsia"/>
                <w:i w:val="0"/>
                <w:color w:val="000000"/>
                <w:sz w:val="24"/>
                <w:szCs w:val="24"/>
                <w:highlight w:val="none"/>
                <w:u w:val="none"/>
                <w:lang w:val="en-US" w:eastAsia="zh-CN"/>
              </w:rPr>
            </w:pPr>
            <w:r>
              <w:rPr>
                <w:rFonts w:hint="eastAsia" w:asciiTheme="minorEastAsia" w:hAnsiTheme="minorEastAsia" w:cstheme="minorEastAsia"/>
                <w:i w:val="0"/>
                <w:color w:val="000000"/>
                <w:sz w:val="24"/>
                <w:szCs w:val="24"/>
                <w:highlight w:val="none"/>
                <w:u w:val="none"/>
                <w:lang w:val="en-US" w:eastAsia="zh-CN"/>
              </w:rPr>
              <w:t>7</w:t>
            </w:r>
          </w:p>
        </w:tc>
        <w:tc>
          <w:tcPr>
            <w:tcW w:w="1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村镇工业集聚区</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区规划和自然资源分局</w:t>
            </w:r>
            <w:r>
              <w:rPr>
                <w:rFonts w:hint="eastAsia" w:asciiTheme="minorEastAsia" w:hAnsiTheme="minorEastAsia" w:cstheme="minorEastAsia"/>
                <w:i w:val="0"/>
                <w:color w:val="000000"/>
                <w:kern w:val="0"/>
                <w:sz w:val="24"/>
                <w:szCs w:val="24"/>
                <w:highlight w:val="none"/>
                <w:u w:val="none"/>
                <w:lang w:val="en-US" w:eastAsia="zh-CN" w:bidi="ar"/>
              </w:rPr>
              <w:t>、</w:t>
            </w:r>
            <w:r>
              <w:rPr>
                <w:rFonts w:hint="eastAsia" w:asciiTheme="minorEastAsia" w:hAnsiTheme="minorEastAsia" w:eastAsiaTheme="minorEastAsia" w:cstheme="minorEastAsia"/>
                <w:i w:val="0"/>
                <w:color w:val="000000"/>
                <w:kern w:val="0"/>
                <w:sz w:val="24"/>
                <w:szCs w:val="24"/>
                <w:highlight w:val="none"/>
                <w:u w:val="none"/>
                <w:lang w:val="en-US" w:eastAsia="zh-CN" w:bidi="ar"/>
              </w:rPr>
              <w:t>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1"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eastAsiaTheme="minorEastAsia" w:cstheme="minorEastAsia"/>
                <w:i w:val="0"/>
                <w:color w:val="000000"/>
                <w:sz w:val="24"/>
                <w:szCs w:val="24"/>
                <w:highlight w:val="none"/>
                <w:u w:val="none"/>
                <w:lang w:val="en-US" w:eastAsia="zh-CN"/>
              </w:rPr>
            </w:pPr>
            <w:r>
              <w:rPr>
                <w:rFonts w:hint="eastAsia" w:asciiTheme="minorEastAsia" w:hAnsiTheme="minorEastAsia" w:cstheme="minorEastAsia"/>
                <w:i w:val="0"/>
                <w:color w:val="000000"/>
                <w:sz w:val="24"/>
                <w:szCs w:val="24"/>
                <w:highlight w:val="none"/>
                <w:u w:val="none"/>
                <w:lang w:val="en-US" w:eastAsia="zh-CN"/>
              </w:rPr>
              <w:t>8</w:t>
            </w:r>
          </w:p>
        </w:tc>
        <w:tc>
          <w:tcPr>
            <w:tcW w:w="12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政府供地项目</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开发区企业服务局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w:t>
            </w:r>
            <w:r>
              <w:rPr>
                <w:rFonts w:hint="eastAsia" w:asciiTheme="minorEastAsia" w:hAnsiTheme="minorEastAsia" w:cstheme="minorEastAsia"/>
                <w:i w:val="0"/>
                <w:color w:val="000000"/>
                <w:kern w:val="0"/>
                <w:sz w:val="24"/>
                <w:szCs w:val="24"/>
                <w:highlight w:val="none"/>
                <w:u w:val="none"/>
                <w:lang w:val="en-US" w:eastAsia="zh-CN" w:bidi="ar"/>
              </w:rPr>
              <w:t>、</w:t>
            </w:r>
            <w:r>
              <w:rPr>
                <w:rFonts w:hint="eastAsia" w:asciiTheme="minorEastAsia" w:hAnsiTheme="minorEastAsia" w:eastAsiaTheme="minorEastAsia" w:cstheme="minorEastAsia"/>
                <w:i w:val="0"/>
                <w:color w:val="000000"/>
                <w:kern w:val="0"/>
                <w:sz w:val="24"/>
                <w:szCs w:val="24"/>
                <w:highlight w:val="none"/>
                <w:u w:val="none"/>
                <w:lang w:val="en-US" w:eastAsia="zh-CN" w:bidi="ar"/>
              </w:rPr>
              <w:t>区规划和自然资源分局、</w:t>
            </w:r>
            <w:r>
              <w:rPr>
                <w:rFonts w:hint="eastAsia" w:asciiTheme="minorEastAsia" w:hAnsiTheme="minorEastAsia" w:cstheme="minorEastAsia"/>
                <w:i w:val="0"/>
                <w:color w:val="000000"/>
                <w:kern w:val="0"/>
                <w:sz w:val="24"/>
                <w:szCs w:val="24"/>
                <w:highlight w:val="none"/>
                <w:u w:val="none"/>
                <w:lang w:val="en-US" w:eastAsia="zh-CN" w:bidi="ar"/>
              </w:rPr>
              <w:t>区税务局、</w:t>
            </w:r>
            <w:r>
              <w:rPr>
                <w:rFonts w:hint="eastAsia" w:asciiTheme="minorEastAsia" w:hAnsiTheme="minorEastAsia" w:eastAsiaTheme="minorEastAsia" w:cstheme="minorEastAsia"/>
                <w:i w:val="0"/>
                <w:color w:val="000000"/>
                <w:kern w:val="0"/>
                <w:sz w:val="24"/>
                <w:szCs w:val="24"/>
                <w:highlight w:val="none"/>
                <w:u w:val="none"/>
                <w:lang w:val="en-US" w:eastAsia="zh-CN" w:bidi="ar"/>
              </w:rPr>
              <w:t>区供电局、各镇街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序号</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2"/>
                <w:sz w:val="24"/>
                <w:szCs w:val="24"/>
                <w:highlight w:val="none"/>
                <w:u w:val="none"/>
                <w:lang w:val="en" w:eastAsia="zh-CN" w:bidi="ar-SA"/>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重点工作任务</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牵头单位</w:t>
            </w:r>
          </w:p>
        </w:tc>
        <w:tc>
          <w:tcPr>
            <w:tcW w:w="215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配合单位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6"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eastAsiaTheme="minorEastAsia" w:cstheme="minorEastAsia"/>
                <w:i w:val="0"/>
                <w:color w:val="000000"/>
                <w:sz w:val="24"/>
                <w:szCs w:val="24"/>
                <w:highlight w:val="none"/>
                <w:u w:val="none"/>
                <w:lang w:val="en-US" w:eastAsia="zh-CN"/>
              </w:rPr>
            </w:pPr>
            <w:r>
              <w:rPr>
                <w:rFonts w:hint="eastAsia" w:asciiTheme="minorEastAsia" w:hAnsiTheme="minorEastAsia" w:cstheme="minorEastAsia"/>
                <w:i w:val="0"/>
                <w:color w:val="000000"/>
                <w:sz w:val="24"/>
                <w:szCs w:val="24"/>
                <w:highlight w:val="none"/>
                <w:u w:val="none"/>
                <w:lang w:val="en-US" w:eastAsia="zh-CN"/>
              </w:rPr>
              <w:t>9</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建立</w:t>
            </w:r>
            <w:r>
              <w:rPr>
                <w:rFonts w:hint="eastAsia" w:asciiTheme="minorEastAsia" w:hAnsiTheme="minorEastAsia" w:cstheme="minorEastAsia"/>
                <w:i w:val="0"/>
                <w:color w:val="000000"/>
                <w:kern w:val="0"/>
                <w:sz w:val="24"/>
                <w:szCs w:val="24"/>
                <w:highlight w:val="none"/>
                <w:u w:val="none"/>
                <w:lang w:val="en" w:eastAsia="zh-CN" w:bidi="ar"/>
              </w:rPr>
              <w:t>“工改工”试点项目推进模式</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w:t>
            </w:r>
          </w:p>
        </w:tc>
        <w:tc>
          <w:tcPr>
            <w:tcW w:w="215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区规划和自然资源分局、开发区投资促进局、开发区科技创新局、各镇街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1"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cstheme="minorEastAsia"/>
                <w:i w:val="0"/>
                <w:color w:val="000000"/>
                <w:sz w:val="24"/>
                <w:szCs w:val="24"/>
                <w:highlight w:val="none"/>
                <w:u w:val="none"/>
                <w:lang w:val="en-US" w:eastAsia="zh-CN"/>
              </w:rPr>
            </w:pPr>
            <w:r>
              <w:rPr>
                <w:rFonts w:hint="eastAsia" w:asciiTheme="minorEastAsia" w:hAnsiTheme="minorEastAsia" w:cstheme="minorEastAsia"/>
                <w:i w:val="0"/>
                <w:color w:val="000000"/>
                <w:sz w:val="24"/>
                <w:szCs w:val="24"/>
                <w:highlight w:val="none"/>
                <w:u w:val="none"/>
                <w:lang w:val="en-US" w:eastAsia="zh-CN"/>
              </w:rPr>
              <w:t>10</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储备一批</w:t>
            </w:r>
            <w:r>
              <w:rPr>
                <w:rFonts w:hint="eastAsia" w:asciiTheme="minorEastAsia" w:hAnsiTheme="minorEastAsia" w:cstheme="minorEastAsia"/>
                <w:i w:val="0"/>
                <w:color w:val="000000"/>
                <w:kern w:val="0"/>
                <w:sz w:val="24"/>
                <w:szCs w:val="24"/>
                <w:highlight w:val="none"/>
                <w:u w:val="none"/>
                <w:lang w:val="en" w:eastAsia="zh-CN" w:bidi="ar"/>
              </w:rPr>
              <w:t>“工改工”</w:t>
            </w:r>
            <w:r>
              <w:rPr>
                <w:rFonts w:hint="eastAsia" w:asciiTheme="minorEastAsia" w:hAnsiTheme="minorEastAsia" w:cstheme="minorEastAsia"/>
                <w:i w:val="0"/>
                <w:color w:val="000000"/>
                <w:kern w:val="0"/>
                <w:sz w:val="24"/>
                <w:szCs w:val="24"/>
                <w:highlight w:val="none"/>
                <w:u w:val="none"/>
                <w:lang w:val="en-US" w:eastAsia="zh-CN" w:bidi="ar"/>
              </w:rPr>
              <w:t>招商项目</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开发区投资促进局</w:t>
            </w:r>
          </w:p>
        </w:tc>
        <w:tc>
          <w:tcPr>
            <w:tcW w:w="215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区科工商信局、开发区科技创新局、各镇街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1"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cstheme="minorEastAsia"/>
                <w:i w:val="0"/>
                <w:color w:val="000000"/>
                <w:sz w:val="24"/>
                <w:szCs w:val="24"/>
                <w:highlight w:val="none"/>
                <w:u w:val="none"/>
                <w:lang w:val="en-US" w:eastAsia="zh-CN"/>
              </w:rPr>
            </w:pPr>
            <w:r>
              <w:rPr>
                <w:rFonts w:hint="eastAsia" w:asciiTheme="minorEastAsia" w:hAnsiTheme="minorEastAsia" w:cstheme="minorEastAsia"/>
                <w:i w:val="0"/>
                <w:color w:val="000000"/>
                <w:sz w:val="24"/>
                <w:szCs w:val="24"/>
                <w:highlight w:val="none"/>
                <w:u w:val="none"/>
                <w:lang w:val="en-US" w:eastAsia="zh-CN"/>
              </w:rPr>
              <w:t>11</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 w:eastAsia="zh-CN" w:bidi="ar"/>
              </w:rPr>
            </w:pPr>
            <w:r>
              <w:rPr>
                <w:rFonts w:hint="eastAsia" w:asciiTheme="minorEastAsia" w:hAnsiTheme="minorEastAsia" w:cstheme="minorEastAsia"/>
                <w:i w:val="0"/>
                <w:color w:val="000000"/>
                <w:kern w:val="0"/>
                <w:sz w:val="24"/>
                <w:szCs w:val="24"/>
                <w:highlight w:val="none"/>
                <w:u w:val="none"/>
                <w:lang w:val="en-US" w:eastAsia="zh-CN" w:bidi="ar"/>
              </w:rPr>
              <w:t>推动村镇工业集聚区提质增效</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w:t>
            </w:r>
          </w:p>
        </w:tc>
        <w:tc>
          <w:tcPr>
            <w:tcW w:w="215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区规划和自然资源分局</w:t>
            </w:r>
            <w:r>
              <w:rPr>
                <w:rFonts w:hint="eastAsia" w:asciiTheme="minorEastAsia" w:hAnsiTheme="minorEastAsia" w:cstheme="minorEastAsia"/>
                <w:i w:val="0"/>
                <w:color w:val="000000"/>
                <w:kern w:val="0"/>
                <w:sz w:val="24"/>
                <w:szCs w:val="24"/>
                <w:highlight w:val="none"/>
                <w:u w:val="none"/>
                <w:lang w:val="en-US" w:eastAsia="zh-CN" w:bidi="ar"/>
              </w:rPr>
              <w:t>、</w:t>
            </w:r>
            <w:r>
              <w:rPr>
                <w:rFonts w:hint="eastAsia" w:asciiTheme="minorEastAsia" w:hAnsiTheme="minorEastAsia" w:eastAsiaTheme="minorEastAsia" w:cstheme="minorEastAsia"/>
                <w:i w:val="0"/>
                <w:color w:val="000000"/>
                <w:kern w:val="0"/>
                <w:sz w:val="24"/>
                <w:szCs w:val="24"/>
                <w:highlight w:val="none"/>
                <w:u w:val="none"/>
                <w:lang w:val="en-US" w:eastAsia="zh-CN" w:bidi="ar"/>
              </w:rPr>
              <w:t>开发区投资促进局、开发区科技创新局</w:t>
            </w:r>
            <w:r>
              <w:rPr>
                <w:rFonts w:hint="eastAsia" w:asciiTheme="minorEastAsia" w:hAnsiTheme="minorEastAsia" w:cstheme="minorEastAsia"/>
                <w:i w:val="0"/>
                <w:color w:val="000000"/>
                <w:kern w:val="0"/>
                <w:sz w:val="24"/>
                <w:szCs w:val="24"/>
                <w:highlight w:val="none"/>
                <w:u w:val="none"/>
                <w:lang w:val="en-US" w:eastAsia="zh-CN" w:bidi="ar"/>
              </w:rPr>
              <w:t>、</w:t>
            </w:r>
            <w:r>
              <w:rPr>
                <w:rFonts w:hint="eastAsia" w:asciiTheme="minorEastAsia" w:hAnsiTheme="minorEastAsia" w:eastAsiaTheme="minorEastAsia" w:cstheme="minorEastAsia"/>
                <w:i w:val="0"/>
                <w:color w:val="000000"/>
                <w:kern w:val="0"/>
                <w:sz w:val="24"/>
                <w:szCs w:val="24"/>
                <w:highlight w:val="none"/>
                <w:u w:val="none"/>
                <w:lang w:val="en-US" w:eastAsia="zh-CN" w:bidi="ar"/>
              </w:rPr>
              <w:t>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blHead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12</w:t>
            </w:r>
          </w:p>
        </w:tc>
        <w:tc>
          <w:tcPr>
            <w:tcW w:w="3654" w:type="dxa"/>
            <w:gridSpan w:val="3"/>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eastAsia="zh-CN" w:bidi="ar"/>
              </w:rPr>
              <w:t>做好</w:t>
            </w:r>
            <w:r>
              <w:rPr>
                <w:rFonts w:hint="eastAsia" w:asciiTheme="minorEastAsia" w:hAnsiTheme="minorEastAsia" w:cstheme="minorEastAsia"/>
                <w:i w:val="0"/>
                <w:color w:val="000000"/>
                <w:kern w:val="0"/>
                <w:sz w:val="24"/>
                <w:szCs w:val="24"/>
                <w:highlight w:val="none"/>
                <w:u w:val="none"/>
                <w:lang w:val="en-US" w:eastAsia="zh-CN" w:bidi="ar"/>
              </w:rPr>
              <w:t>基础</w:t>
            </w:r>
            <w:r>
              <w:rPr>
                <w:rFonts w:hint="default" w:asciiTheme="minorEastAsia" w:hAnsiTheme="minorEastAsia" w:cstheme="minorEastAsia"/>
                <w:i w:val="0"/>
                <w:color w:val="000000"/>
                <w:kern w:val="0"/>
                <w:sz w:val="24"/>
                <w:szCs w:val="24"/>
                <w:highlight w:val="none"/>
                <w:u w:val="none"/>
                <w:lang w:eastAsia="zh-CN" w:bidi="ar"/>
              </w:rPr>
              <w:t>设施</w:t>
            </w:r>
            <w:r>
              <w:rPr>
                <w:rFonts w:hint="eastAsia" w:asciiTheme="minorEastAsia" w:hAnsiTheme="minorEastAsia" w:cstheme="minorEastAsia"/>
                <w:i w:val="0"/>
                <w:color w:val="000000"/>
                <w:kern w:val="0"/>
                <w:sz w:val="24"/>
                <w:szCs w:val="24"/>
                <w:highlight w:val="none"/>
                <w:u w:val="none"/>
                <w:lang w:val="en-US" w:eastAsia="zh-CN" w:bidi="ar"/>
              </w:rPr>
              <w:t>配套和招商服务工作</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各镇街</w:t>
            </w:r>
          </w:p>
        </w:tc>
        <w:tc>
          <w:tcPr>
            <w:tcW w:w="215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各相关业务部门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blHead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13</w:t>
            </w:r>
          </w:p>
        </w:tc>
        <w:tc>
          <w:tcPr>
            <w:tcW w:w="1287" w:type="dxa"/>
            <w:vMerge w:val="restart"/>
            <w:tcBorders>
              <w:top w:val="single" w:color="000000" w:sz="4" w:space="0"/>
              <w:left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 w:eastAsia="zh-CN" w:bidi="ar"/>
              </w:rPr>
            </w:pPr>
            <w:r>
              <w:rPr>
                <w:rFonts w:hint="eastAsia" w:asciiTheme="minorEastAsia" w:hAnsiTheme="minorEastAsia" w:cstheme="minorEastAsia"/>
                <w:i w:val="0"/>
                <w:color w:val="000000"/>
                <w:kern w:val="0"/>
                <w:sz w:val="24"/>
                <w:szCs w:val="24"/>
                <w:highlight w:val="none"/>
                <w:u w:val="none"/>
                <w:lang w:val="en" w:eastAsia="zh-CN" w:bidi="ar"/>
              </w:rPr>
              <w:t>加强“工改工”项目监管</w:t>
            </w:r>
          </w:p>
        </w:tc>
        <w:tc>
          <w:tcPr>
            <w:tcW w:w="2367"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 w:eastAsia="zh-CN" w:bidi="ar"/>
              </w:rPr>
            </w:pPr>
            <w:r>
              <w:rPr>
                <w:rFonts w:hint="eastAsia" w:asciiTheme="minorEastAsia" w:hAnsiTheme="minorEastAsia" w:cstheme="minorEastAsia"/>
                <w:i w:val="0"/>
                <w:color w:val="000000"/>
                <w:kern w:val="0"/>
                <w:sz w:val="24"/>
                <w:szCs w:val="24"/>
                <w:highlight w:val="none"/>
                <w:u w:val="none"/>
                <w:lang w:val="en-US" w:eastAsia="zh-CN" w:bidi="ar"/>
              </w:rPr>
              <w:t>加强“工改工”产业监管审查</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w:t>
            </w:r>
          </w:p>
        </w:tc>
        <w:tc>
          <w:tcPr>
            <w:tcW w:w="215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开发区企业服务局</w:t>
            </w:r>
            <w:r>
              <w:rPr>
                <w:rFonts w:hint="eastAsia" w:asciiTheme="minorEastAsia" w:hAnsiTheme="minorEastAsia" w:cstheme="minorEastAsia"/>
                <w:i w:val="0"/>
                <w:color w:val="000000"/>
                <w:kern w:val="0"/>
                <w:sz w:val="24"/>
                <w:szCs w:val="24"/>
                <w:highlight w:val="none"/>
                <w:u w:val="none"/>
                <w:lang w:val="en-US" w:eastAsia="zh-CN" w:bidi="ar"/>
              </w:rPr>
              <w:t>、</w:t>
            </w:r>
            <w:r>
              <w:rPr>
                <w:rFonts w:hint="eastAsia" w:asciiTheme="minorEastAsia" w:hAnsiTheme="minorEastAsia" w:eastAsiaTheme="minorEastAsia" w:cstheme="minorEastAsia"/>
                <w:i w:val="0"/>
                <w:color w:val="000000"/>
                <w:kern w:val="0"/>
                <w:sz w:val="24"/>
                <w:szCs w:val="24"/>
                <w:highlight w:val="none"/>
                <w:u w:val="none"/>
                <w:lang w:val="en-US" w:eastAsia="zh-CN" w:bidi="ar"/>
              </w:rPr>
              <w:t>区规划和自然资源分局</w:t>
            </w:r>
            <w:r>
              <w:rPr>
                <w:rFonts w:hint="eastAsia" w:asciiTheme="minorEastAsia" w:hAnsiTheme="minorEastAsia" w:cstheme="minorEastAsia"/>
                <w:i w:val="0"/>
                <w:color w:val="000000"/>
                <w:kern w:val="0"/>
                <w:sz w:val="24"/>
                <w:szCs w:val="24"/>
                <w:highlight w:val="none"/>
                <w:u w:val="none"/>
                <w:lang w:val="en-US" w:eastAsia="zh-CN" w:bidi="ar"/>
              </w:rPr>
              <w:t>、</w:t>
            </w:r>
            <w:r>
              <w:rPr>
                <w:rFonts w:hint="eastAsia" w:asciiTheme="minorEastAsia" w:hAnsiTheme="minorEastAsia" w:eastAsiaTheme="minorEastAsia" w:cstheme="minorEastAsia"/>
                <w:i w:val="0"/>
                <w:color w:val="000000"/>
                <w:kern w:val="0"/>
                <w:sz w:val="24"/>
                <w:szCs w:val="24"/>
                <w:highlight w:val="none"/>
                <w:u w:val="none"/>
                <w:lang w:val="en-US" w:eastAsia="zh-CN" w:bidi="ar"/>
              </w:rPr>
              <w:t>区财政局、各镇街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blHeader/>
        </w:trPr>
        <w:tc>
          <w:tcPr>
            <w:tcW w:w="734"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14</w:t>
            </w:r>
          </w:p>
        </w:tc>
        <w:tc>
          <w:tcPr>
            <w:tcW w:w="1287" w:type="dxa"/>
            <w:vMerge w:val="continue"/>
            <w:tcBorders>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 w:eastAsia="zh-CN" w:bidi="ar"/>
              </w:rPr>
            </w:pPr>
          </w:p>
        </w:tc>
        <w:tc>
          <w:tcPr>
            <w:tcW w:w="2367"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 w:eastAsia="zh-CN" w:bidi="ar"/>
              </w:rPr>
            </w:pPr>
            <w:r>
              <w:rPr>
                <w:rFonts w:hint="eastAsia" w:asciiTheme="minorEastAsia" w:hAnsiTheme="minorEastAsia" w:cstheme="minorEastAsia"/>
                <w:i w:val="0"/>
                <w:color w:val="000000"/>
                <w:kern w:val="0"/>
                <w:sz w:val="24"/>
                <w:szCs w:val="24"/>
                <w:highlight w:val="none"/>
                <w:u w:val="none"/>
                <w:lang w:val="en-US" w:eastAsia="zh-CN" w:bidi="ar"/>
              </w:rPr>
              <w:t>开展“工改工”履约评估监管</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开发区企业服务局</w:t>
            </w:r>
          </w:p>
        </w:tc>
        <w:tc>
          <w:tcPr>
            <w:tcW w:w="215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w:t>
            </w:r>
            <w:r>
              <w:rPr>
                <w:rFonts w:hint="eastAsia" w:asciiTheme="minorEastAsia" w:hAnsiTheme="minorEastAsia" w:cstheme="minorEastAsia"/>
                <w:i w:val="0"/>
                <w:color w:val="000000"/>
                <w:kern w:val="0"/>
                <w:sz w:val="24"/>
                <w:szCs w:val="24"/>
                <w:highlight w:val="none"/>
                <w:u w:val="none"/>
                <w:lang w:val="en-US" w:eastAsia="zh-CN" w:bidi="ar"/>
              </w:rPr>
              <w:t>、区规划和自然资源分局、区统计局、区税务局、各镇街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3" w:hRule="atLeast"/>
          <w:tblHeader/>
        </w:trPr>
        <w:tc>
          <w:tcPr>
            <w:tcW w:w="734"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eastAsiaTheme="minorEastAsia" w:cstheme="minorEastAsia"/>
                <w:i w:val="0"/>
                <w:color w:val="000000"/>
                <w:sz w:val="24"/>
                <w:szCs w:val="24"/>
                <w:highlight w:val="none"/>
                <w:u w:val="none"/>
                <w:lang w:val="en-US" w:eastAsia="zh-CN"/>
              </w:rPr>
            </w:pPr>
            <w:r>
              <w:rPr>
                <w:rFonts w:hint="eastAsia" w:asciiTheme="minorEastAsia" w:hAnsiTheme="minorEastAsia" w:cstheme="minorEastAsia"/>
                <w:i w:val="0"/>
                <w:color w:val="000000"/>
                <w:sz w:val="24"/>
                <w:szCs w:val="24"/>
                <w:highlight w:val="none"/>
                <w:u w:val="none"/>
                <w:lang w:val="en-US" w:eastAsia="zh-CN"/>
              </w:rPr>
              <w:t>15</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cstheme="minorEastAsia"/>
                <w:i w:val="0"/>
                <w:color w:val="000000"/>
                <w:kern w:val="0"/>
                <w:sz w:val="24"/>
                <w:szCs w:val="24"/>
                <w:highlight w:val="none"/>
                <w:u w:val="none"/>
                <w:lang w:val="en" w:eastAsia="zh-CN" w:bidi="ar"/>
              </w:rPr>
              <w:t>“工改工”试点项目用地政策</w:t>
            </w:r>
          </w:p>
        </w:tc>
        <w:tc>
          <w:tcPr>
            <w:tcW w:w="1845"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区规划和自然资源分局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区科工商信局、区税务局、各镇街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cstheme="minorEastAsia"/>
                <w:i w:val="0"/>
                <w:color w:val="000000"/>
                <w:sz w:val="24"/>
                <w:szCs w:val="24"/>
                <w:highlight w:val="none"/>
                <w:u w:val="none"/>
                <w:lang w:val="en-US" w:eastAsia="zh-CN"/>
              </w:rPr>
            </w:pPr>
            <w:r>
              <w:rPr>
                <w:rFonts w:hint="eastAsia" w:asciiTheme="minorEastAsia" w:hAnsiTheme="minorEastAsia" w:cstheme="minorEastAsia"/>
                <w:i w:val="0"/>
                <w:color w:val="000000"/>
                <w:sz w:val="24"/>
                <w:szCs w:val="24"/>
                <w:highlight w:val="none"/>
                <w:u w:val="none"/>
                <w:lang w:val="en-US" w:eastAsia="zh-CN"/>
              </w:rPr>
              <w:t>16</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cstheme="minorEastAsia"/>
                <w:i w:val="0"/>
                <w:color w:val="000000"/>
                <w:kern w:val="0"/>
                <w:sz w:val="24"/>
                <w:szCs w:val="24"/>
                <w:highlight w:val="none"/>
                <w:u w:val="none"/>
                <w:lang w:val="en" w:eastAsia="zh-CN" w:bidi="ar"/>
              </w:rPr>
              <w:t>“工改工”试点项目奖补政策</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cstheme="minorEastAsia"/>
                <w:i w:val="0"/>
                <w:color w:val="000000"/>
                <w:kern w:val="0"/>
                <w:sz w:val="24"/>
                <w:szCs w:val="24"/>
                <w:highlight w:val="none"/>
                <w:u w:val="none"/>
                <w:lang w:val="en-US" w:eastAsia="zh-CN" w:bidi="ar"/>
              </w:rPr>
              <w:t>区财政局、</w:t>
            </w:r>
            <w:r>
              <w:rPr>
                <w:rFonts w:hint="eastAsia" w:asciiTheme="minorEastAsia" w:hAnsiTheme="minorEastAsia" w:eastAsiaTheme="minorEastAsia" w:cstheme="minorEastAsia"/>
                <w:i w:val="0"/>
                <w:color w:val="000000"/>
                <w:kern w:val="0"/>
                <w:sz w:val="24"/>
                <w:szCs w:val="24"/>
                <w:highlight w:val="none"/>
                <w:u w:val="none"/>
                <w:lang w:val="en-US" w:eastAsia="zh-CN" w:bidi="ar"/>
              </w:rPr>
              <w:t>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cstheme="minorEastAsia"/>
                <w:i w:val="0"/>
                <w:color w:val="000000"/>
                <w:sz w:val="24"/>
                <w:szCs w:val="24"/>
                <w:highlight w:val="none"/>
                <w:u w:val="none"/>
                <w:lang w:val="en-US" w:eastAsia="zh-CN"/>
              </w:rPr>
            </w:pPr>
            <w:r>
              <w:rPr>
                <w:rFonts w:hint="eastAsia" w:asciiTheme="minorEastAsia" w:hAnsiTheme="minorEastAsia" w:cstheme="minorEastAsia"/>
                <w:i w:val="0"/>
                <w:color w:val="000000"/>
                <w:sz w:val="24"/>
                <w:szCs w:val="24"/>
                <w:highlight w:val="none"/>
                <w:u w:val="none"/>
                <w:lang w:val="en-US" w:eastAsia="zh-CN"/>
              </w:rPr>
              <w:t>17</w:t>
            </w:r>
          </w:p>
        </w:tc>
        <w:tc>
          <w:tcPr>
            <w:tcW w:w="1441" w:type="dxa"/>
            <w:gridSpan w:val="2"/>
            <w:vMerge w:val="restart"/>
            <w:tcBorders>
              <w:top w:val="single" w:color="000000" w:sz="4" w:space="0"/>
              <w:left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村镇工业集聚区专项政策</w:t>
            </w:r>
          </w:p>
        </w:tc>
        <w:tc>
          <w:tcPr>
            <w:tcW w:w="221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b w:val="0"/>
                <w:bCs w:val="0"/>
                <w:color w:val="000000"/>
                <w:kern w:val="0"/>
                <w:sz w:val="24"/>
                <w:szCs w:val="24"/>
                <w:highlight w:val="none"/>
                <w:u w:val="none"/>
                <w:lang w:val="en-US" w:eastAsia="zh-CN" w:bidi="ar"/>
              </w:rPr>
            </w:pPr>
            <w:r>
              <w:rPr>
                <w:rFonts w:hint="eastAsia" w:asciiTheme="minorEastAsia" w:hAnsiTheme="minorEastAsia" w:eastAsiaTheme="minorEastAsia" w:cstheme="minorEastAsia"/>
                <w:b w:val="0"/>
                <w:bCs w:val="0"/>
                <w:color w:val="000000"/>
                <w:kern w:val="0"/>
                <w:sz w:val="24"/>
                <w:szCs w:val="24"/>
                <w:highlight w:val="none"/>
                <w:u w:val="none"/>
                <w:lang w:val="en-US" w:eastAsia="zh-CN" w:bidi="ar"/>
              </w:rPr>
              <w:t>土地规划支持</w:t>
            </w:r>
          </w:p>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在建工程抵押</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0"/>
                <w:sz w:val="24"/>
                <w:szCs w:val="24"/>
                <w:highlight w:val="none"/>
                <w:u w:val="none"/>
                <w:lang w:val="en-US"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区规划和自然资源分局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US" w:eastAsia="zh-CN" w:bidi="ar"/>
              </w:rPr>
            </w:pPr>
            <w:r>
              <w:rPr>
                <w:rFonts w:hint="eastAsia" w:asciiTheme="minorEastAsia" w:hAnsiTheme="minorEastAsia" w:cstheme="minorEastAsia"/>
                <w:i w:val="0"/>
                <w:color w:val="000000"/>
                <w:kern w:val="0"/>
                <w:sz w:val="24"/>
                <w:szCs w:val="24"/>
                <w:highlight w:val="none"/>
                <w:u w:val="none"/>
                <w:lang w:val="en-US" w:eastAsia="zh-CN" w:bidi="ar"/>
              </w:rPr>
              <w:t>区科工商信局、各镇街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cstheme="minorEastAsia"/>
                <w:i w:val="0"/>
                <w:color w:val="000000"/>
                <w:sz w:val="24"/>
                <w:szCs w:val="24"/>
                <w:highlight w:val="none"/>
                <w:u w:val="none"/>
                <w:lang w:val="en-US" w:eastAsia="zh-CN"/>
              </w:rPr>
            </w:pPr>
            <w:r>
              <w:rPr>
                <w:rFonts w:hint="eastAsia" w:asciiTheme="minorEastAsia" w:hAnsiTheme="minorEastAsia" w:cstheme="minorEastAsia"/>
                <w:i w:val="0"/>
                <w:color w:val="000000"/>
                <w:sz w:val="24"/>
                <w:szCs w:val="24"/>
                <w:highlight w:val="none"/>
                <w:u w:val="none"/>
                <w:lang w:val="en-US" w:eastAsia="zh-CN"/>
              </w:rPr>
              <w:t>18</w:t>
            </w:r>
          </w:p>
        </w:tc>
        <w:tc>
          <w:tcPr>
            <w:tcW w:w="1441" w:type="dxa"/>
            <w:gridSpan w:val="2"/>
            <w:vMerge w:val="continue"/>
            <w:tcBorders>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 w:eastAsia="zh-CN" w:bidi="ar"/>
              </w:rPr>
            </w:pPr>
          </w:p>
        </w:tc>
        <w:tc>
          <w:tcPr>
            <w:tcW w:w="221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 w:eastAsia="zh-CN" w:bidi="ar"/>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村改招商奖励</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区科工商信局</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cstheme="minorEastAsia"/>
                <w:i w:val="0"/>
                <w:color w:val="000000"/>
                <w:kern w:val="0"/>
                <w:sz w:val="24"/>
                <w:szCs w:val="24"/>
                <w:highlight w:val="none"/>
                <w:u w:val="none"/>
                <w:lang w:val="en-US" w:eastAsia="zh-CN" w:bidi="ar"/>
              </w:rPr>
              <w:t>区财政局、</w:t>
            </w:r>
            <w:r>
              <w:rPr>
                <w:rFonts w:hint="eastAsia" w:asciiTheme="minorEastAsia" w:hAnsiTheme="minorEastAsia" w:eastAsiaTheme="minorEastAsia" w:cstheme="minorEastAsia"/>
                <w:i w:val="0"/>
                <w:color w:val="000000"/>
                <w:kern w:val="0"/>
                <w:sz w:val="24"/>
                <w:szCs w:val="24"/>
                <w:highlight w:val="none"/>
                <w:u w:val="none"/>
                <w:lang w:val="en-US" w:eastAsia="zh-CN" w:bidi="ar"/>
              </w:rPr>
              <w:t>各镇街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7" w:hRule="atLeast"/>
          <w:tblHead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heme="minorEastAsia" w:hAnsiTheme="minorEastAsia" w:cstheme="minorEastAsia"/>
                <w:i w:val="0"/>
                <w:color w:val="000000"/>
                <w:sz w:val="24"/>
                <w:szCs w:val="24"/>
                <w:highlight w:val="none"/>
                <w:u w:val="none"/>
                <w:lang w:val="en-US" w:eastAsia="zh-CN"/>
              </w:rPr>
            </w:pPr>
            <w:r>
              <w:rPr>
                <w:rFonts w:hint="eastAsia" w:asciiTheme="minorEastAsia" w:hAnsiTheme="minorEastAsia" w:cstheme="minorEastAsia"/>
                <w:i w:val="0"/>
                <w:color w:val="000000"/>
                <w:sz w:val="24"/>
                <w:szCs w:val="24"/>
                <w:highlight w:val="none"/>
                <w:u w:val="none"/>
                <w:lang w:val="en-US" w:eastAsia="zh-CN"/>
              </w:rPr>
              <w:t>19</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cstheme="minorEastAsia"/>
                <w:i w:val="0"/>
                <w:color w:val="000000"/>
                <w:kern w:val="0"/>
                <w:sz w:val="24"/>
                <w:szCs w:val="24"/>
                <w:highlight w:val="none"/>
                <w:u w:val="none"/>
                <w:lang w:val="en" w:eastAsia="zh-CN" w:bidi="ar"/>
              </w:rPr>
            </w:pPr>
            <w:r>
              <w:rPr>
                <w:rFonts w:hint="eastAsia" w:asciiTheme="minorEastAsia" w:hAnsiTheme="minorEastAsia" w:cstheme="minorEastAsia"/>
                <w:i w:val="0"/>
                <w:color w:val="000000"/>
                <w:kern w:val="0"/>
                <w:sz w:val="24"/>
                <w:szCs w:val="24"/>
                <w:highlight w:val="none"/>
                <w:u w:val="none"/>
                <w:lang w:val="en" w:eastAsia="zh-CN" w:bidi="ar"/>
              </w:rPr>
              <w:t>实行目标任务考核</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开发区政研室</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heme="minorEastAsia" w:hAnsiTheme="minorEastAsia" w:eastAsiaTheme="minorEastAsia" w:cstheme="minorEastAsia"/>
                <w:i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color w:val="000000"/>
                <w:kern w:val="0"/>
                <w:sz w:val="24"/>
                <w:szCs w:val="24"/>
                <w:highlight w:val="none"/>
                <w:u w:val="none"/>
                <w:lang w:val="en-US" w:eastAsia="zh-CN" w:bidi="ar"/>
              </w:rPr>
              <w:t>开发区投资促进局、开发区科技创新局、区科工商信局、区规划和自然资源分局、各镇街</w:t>
            </w:r>
          </w:p>
        </w:tc>
      </w:tr>
    </w:tbl>
    <w:p>
      <w:pPr>
        <w:pStyle w:val="2"/>
        <w:rPr>
          <w:rFonts w:hint="eastAsia"/>
          <w:highlight w:val="none"/>
          <w:lang w:val="en"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Style w:val="7"/>
          <w:rFonts w:hint="eastAsia" w:ascii="黑体" w:hAnsi="黑体" w:eastAsia="黑体" w:cs="黑体"/>
          <w:sz w:val="32"/>
          <w:szCs w:val="32"/>
          <w:highlight w:val="none"/>
          <w:u w:val="none"/>
          <w:lang w:val="en" w:eastAsia="zh-CN"/>
        </w:rPr>
      </w:pPr>
      <w:r>
        <w:rPr>
          <w:rStyle w:val="7"/>
          <w:rFonts w:hint="eastAsia" w:ascii="黑体" w:hAnsi="黑体" w:eastAsia="黑体" w:cs="黑体"/>
          <w:sz w:val="32"/>
          <w:szCs w:val="32"/>
          <w:highlight w:val="none"/>
          <w:u w:val="none"/>
          <w:lang w:val="en" w:eastAsia="zh-CN"/>
        </w:rPr>
        <w:t>附件</w:t>
      </w:r>
      <w:r>
        <w:rPr>
          <w:rStyle w:val="7"/>
          <w:rFonts w:hint="eastAsia" w:ascii="黑体" w:hAnsi="黑体" w:eastAsia="黑体" w:cs="黑体"/>
          <w:sz w:val="32"/>
          <w:szCs w:val="32"/>
          <w:highlight w:val="none"/>
          <w:u w:val="none"/>
          <w:lang w:val="en-US" w:eastAsia="zh-CN"/>
        </w:rPr>
        <w:t>2</w:t>
      </w:r>
    </w:p>
    <w:p>
      <w:pPr>
        <w:pStyle w:val="2"/>
        <w:ind w:left="0" w:leftChars="0" w:firstLine="0" w:firstLineChars="0"/>
        <w:rPr>
          <w:rStyle w:val="7"/>
          <w:rFonts w:hint="eastAsia" w:ascii="方正小标宋_GBK" w:hAnsi="方正小标宋_GBK" w:eastAsia="方正小标宋_GBK" w:cs="方正小标宋_GBK"/>
          <w:sz w:val="44"/>
          <w:szCs w:val="44"/>
          <w:highlight w:val="none"/>
          <w:u w:val="none"/>
          <w:lang w:val="en-US" w:eastAsia="zh-CN"/>
        </w:rPr>
      </w:pPr>
      <w:r>
        <w:rPr>
          <w:rFonts w:hint="eastAsia" w:eastAsia="宋体"/>
          <w:lang w:eastAsia="zh-CN"/>
        </w:rPr>
        <w:drawing>
          <wp:inline distT="0" distB="0" distL="114300" distR="114300">
            <wp:extent cx="5262245" cy="7593330"/>
            <wp:effectExtent l="0" t="0" r="14605" b="7620"/>
            <wp:docPr id="4" name="图片 2" descr="“工改工”项目实施指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工改工”项目实施指引"/>
                    <pic:cNvPicPr>
                      <a:picLocks noChangeAspect="1"/>
                    </pic:cNvPicPr>
                  </pic:nvPicPr>
                  <pic:blipFill>
                    <a:blip r:embed="rId5"/>
                    <a:srcRect l="7617" t="4312" r="8424" b="2077"/>
                    <a:stretch>
                      <a:fillRect/>
                    </a:stretch>
                  </pic:blipFill>
                  <pic:spPr>
                    <a:xfrm>
                      <a:off x="0" y="0"/>
                      <a:ext cx="5262245" cy="7593330"/>
                    </a:xfrm>
                    <a:prstGeom prst="rect">
                      <a:avLst/>
                    </a:prstGeom>
                    <a:noFill/>
                    <a:ln>
                      <a:noFill/>
                    </a:ln>
                  </pic:spPr>
                </pic:pic>
              </a:graphicData>
            </a:graphic>
          </wp:inline>
        </w:drawing>
      </w:r>
    </w:p>
    <w:p>
      <w:pPr>
        <w:pStyle w:val="2"/>
        <w:ind w:left="0" w:leftChars="0" w:firstLine="0" w:firstLineChars="0"/>
        <w:rPr>
          <w:rStyle w:val="7"/>
          <w:rFonts w:hint="eastAsia" w:ascii="方正小标宋_GBK" w:hAnsi="方正小标宋_GBK" w:eastAsia="方正小标宋_GBK" w:cs="方正小标宋_GBK"/>
          <w:sz w:val="44"/>
          <w:szCs w:val="44"/>
          <w:highlight w:val="none"/>
          <w:u w:val="none"/>
          <w:lang w:val="en-US" w:eastAsia="zh-CN"/>
        </w:rPr>
      </w:pPr>
    </w:p>
    <w:p/>
    <w:p/>
    <w:p/>
    <w:p/>
    <w:p/>
    <w:p>
      <w:pPr>
        <w:spacing w:line="570" w:lineRule="exact"/>
        <w:rPr>
          <w:rFonts w:hint="eastAsia" w:ascii="黑体" w:hAnsi="黑体" w:eastAsia="黑体"/>
        </w:rPr>
      </w:pPr>
    </w:p>
    <w:p>
      <w:pPr>
        <w:spacing w:line="570" w:lineRule="exact"/>
        <w:rPr>
          <w:rFonts w:hint="eastAsia" w:ascii="黑体" w:hAnsi="黑体" w:eastAsia="黑体"/>
        </w:rPr>
      </w:pPr>
    </w:p>
    <w:p>
      <w:pPr>
        <w:spacing w:line="570" w:lineRule="exact"/>
        <w:rPr>
          <w:rFonts w:hint="eastAsia" w:ascii="黑体" w:hAnsi="黑体" w:eastAsia="黑体"/>
        </w:rPr>
      </w:pPr>
    </w:p>
    <w:p>
      <w:pPr>
        <w:spacing w:line="570" w:lineRule="exact"/>
        <w:rPr>
          <w:rFonts w:hint="eastAsia" w:ascii="黑体" w:hAnsi="黑体" w:eastAsia="黑体"/>
        </w:rPr>
      </w:pPr>
    </w:p>
    <w:p>
      <w:pPr>
        <w:spacing w:line="570" w:lineRule="exact"/>
        <w:rPr>
          <w:rFonts w:hint="eastAsia" w:ascii="黑体" w:hAnsi="黑体" w:eastAsia="黑体"/>
        </w:rPr>
      </w:pPr>
    </w:p>
    <w:p>
      <w:pPr>
        <w:spacing w:line="570" w:lineRule="exact"/>
        <w:rPr>
          <w:rFonts w:hint="eastAsia" w:ascii="黑体" w:hAnsi="黑体" w:eastAsia="黑体"/>
        </w:rPr>
      </w:pPr>
    </w:p>
    <w:p>
      <w:pPr>
        <w:spacing w:line="570" w:lineRule="exact"/>
        <w:rPr>
          <w:rFonts w:hint="eastAsia" w:ascii="黑体" w:hAnsi="黑体" w:eastAsia="黑体"/>
        </w:rPr>
      </w:pPr>
    </w:p>
    <w:p>
      <w:pPr>
        <w:spacing w:line="570" w:lineRule="exact"/>
        <w:rPr>
          <w:rFonts w:hint="eastAsia" w:ascii="黑体" w:hAnsi="黑体" w:eastAsia="黑体"/>
        </w:rPr>
      </w:pPr>
    </w:p>
    <w:p>
      <w:pPr>
        <w:pStyle w:val="2"/>
        <w:rPr>
          <w:rFonts w:hint="eastAsia" w:ascii="黑体" w:hAnsi="黑体" w:eastAsia="黑体"/>
        </w:rPr>
      </w:pPr>
    </w:p>
    <w:p>
      <w:pPr>
        <w:rPr>
          <w:rFonts w:hint="eastAsia" w:ascii="黑体" w:hAnsi="黑体" w:eastAsia="黑体"/>
        </w:rPr>
      </w:pPr>
    </w:p>
    <w:p>
      <w:pPr>
        <w:pStyle w:val="2"/>
        <w:rPr>
          <w:rFonts w:hint="eastAsia" w:ascii="黑体" w:hAnsi="黑体" w:eastAsia="黑体"/>
        </w:rPr>
      </w:pPr>
    </w:p>
    <w:p>
      <w:pPr>
        <w:rPr>
          <w:rFonts w:hint="eastAsia"/>
        </w:rPr>
      </w:pPr>
    </w:p>
    <w:p>
      <w:pPr>
        <w:spacing w:line="570" w:lineRule="exact"/>
        <w:rPr>
          <w:rFonts w:hint="eastAsia" w:ascii="黑体" w:hAnsi="黑体" w:eastAsia="黑体"/>
        </w:rPr>
      </w:pPr>
    </w:p>
    <w:p>
      <w:pPr>
        <w:spacing w:line="570" w:lineRule="exact"/>
        <w:rPr>
          <w:rFonts w:hint="eastAsia" w:ascii="黑体" w:hAnsi="黑体" w:eastAsia="黑体"/>
        </w:rPr>
      </w:pPr>
    </w:p>
    <w:p>
      <w:pPr>
        <w:spacing w:line="570" w:lineRule="exact"/>
        <w:rPr>
          <w:rFonts w:hint="eastAsia" w:ascii="黑体" w:hAnsi="黑体" w:eastAsia="黑体"/>
        </w:rPr>
      </w:pPr>
    </w:p>
    <w:p>
      <w:pPr>
        <w:spacing w:line="570" w:lineRule="exact"/>
        <w:rPr>
          <w:rFonts w:hint="eastAsia" w:ascii="黑体" w:hAnsi="黑体" w:eastAsia="黑体"/>
        </w:rPr>
      </w:pPr>
    </w:p>
    <w:p>
      <w:pPr>
        <w:spacing w:line="570" w:lineRule="exact"/>
        <w:rPr>
          <w:rFonts w:ascii="仿宋_GB2312"/>
          <w:sz w:val="32"/>
          <w:szCs w:val="32"/>
        </w:rPr>
      </w:pPr>
      <w:r>
        <w:rPr>
          <w:rFonts w:hint="eastAsia" w:ascii="黑体" w:hAnsi="黑体" w:eastAsia="黑体"/>
          <w:sz w:val="32"/>
          <w:szCs w:val="32"/>
        </w:rPr>
        <w:t>公开方式：</w:t>
      </w:r>
      <w:r>
        <w:rPr>
          <w:rFonts w:hint="eastAsia" w:ascii="仿宋_GB2312" w:hAnsi="仿宋_GB2312" w:eastAsia="仿宋_GB2312" w:cs="仿宋_GB2312"/>
          <w:sz w:val="32"/>
          <w:szCs w:val="32"/>
          <w:lang w:val="en-US" w:eastAsia="zh-CN"/>
        </w:rPr>
        <w:t>主动</w:t>
      </w:r>
      <w:r>
        <w:rPr>
          <w:rFonts w:hint="eastAsia" w:ascii="仿宋_GB2312" w:hAnsi="仿宋_GB2312" w:eastAsia="仿宋_GB2312" w:cs="仿宋_GB2312"/>
          <w:sz w:val="32"/>
          <w:szCs w:val="32"/>
        </w:rPr>
        <w:t>公开</w:t>
      </w:r>
    </w:p>
    <w:p>
      <w:pPr>
        <w:spacing w:line="570" w:lineRule="exact"/>
        <w:rPr>
          <w:rFonts w:ascii="仿宋_GB2312"/>
        </w:rPr>
      </w:pPr>
    </w:p>
    <w:tbl>
      <w:tblPr>
        <w:tblStyle w:val="5"/>
        <w:tblW w:w="906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060" w:type="dxa"/>
            <w:noWrap w:val="0"/>
            <w:vAlign w:val="top"/>
          </w:tcPr>
          <w:p>
            <w:pPr>
              <w:spacing w:line="570" w:lineRule="exact"/>
              <w:ind w:left="957" w:leftChars="84" w:right="101" w:rightChars="48" w:hanging="781" w:hangingChars="279"/>
              <w:rPr>
                <w:rFonts w:ascii="仿宋_GB2312"/>
                <w:sz w:val="28"/>
                <w:szCs w:val="28"/>
              </w:rPr>
            </w:pPr>
            <w:r>
              <w:rPr>
                <w:rFonts w:hint="eastAsia" w:ascii="仿宋_GB2312" w:hAnsi="仿宋_GB2312" w:eastAsia="仿宋_GB2312" w:cs="仿宋_GB2312"/>
                <w:sz w:val="28"/>
                <w:szCs w:val="28"/>
              </w:rPr>
              <w:t>抄送：区委、</w:t>
            </w:r>
            <w:r>
              <w:rPr>
                <w:rFonts w:hint="eastAsia" w:ascii="仿宋_GB2312" w:hAnsi="仿宋_GB2312" w:eastAsia="仿宋_GB2312" w:cs="仿宋_GB2312"/>
                <w:sz w:val="28"/>
                <w:szCs w:val="28"/>
                <w:lang w:val="en-US" w:eastAsia="zh-CN"/>
              </w:rPr>
              <w:t>开发区党工委、</w:t>
            </w:r>
            <w:r>
              <w:rPr>
                <w:rFonts w:hint="eastAsia" w:ascii="仿宋_GB2312" w:hAnsi="仿宋_GB2312" w:eastAsia="仿宋_GB2312" w:cs="仿宋_GB2312"/>
                <w:sz w:val="28"/>
                <w:szCs w:val="28"/>
              </w:rPr>
              <w:t>区人大常委会、区政府、</w:t>
            </w:r>
            <w:r>
              <w:rPr>
                <w:rFonts w:hint="eastAsia" w:ascii="仿宋_GB2312" w:hAnsi="仿宋_GB2312" w:eastAsia="仿宋_GB2312" w:cs="仿宋_GB2312"/>
                <w:sz w:val="28"/>
                <w:szCs w:val="28"/>
                <w:lang w:val="en-US" w:eastAsia="zh-CN"/>
              </w:rPr>
              <w:t>开发区管委会、</w:t>
            </w:r>
            <w:r>
              <w:rPr>
                <w:rFonts w:hint="eastAsia" w:ascii="仿宋_GB2312" w:hAnsi="仿宋_GB2312" w:eastAsia="仿宋_GB2312" w:cs="仿宋_GB2312"/>
                <w:sz w:val="28"/>
                <w:szCs w:val="28"/>
              </w:rPr>
              <w:t>区政协领导同志及开发区管委会、区纪委监委负责同志，区委各部委办，区人大办，区政协办，区人武部，区法院，区检察院，各人民团体。</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060" w:type="dxa"/>
            <w:noWrap w:val="0"/>
            <w:vAlign w:val="top"/>
          </w:tcPr>
          <w:p>
            <w:pPr>
              <w:spacing w:line="570" w:lineRule="exact"/>
              <w:ind w:left="932" w:leftChars="44" w:right="101" w:rightChars="48" w:hanging="840" w:hangingChars="300"/>
              <w:rPr>
                <w:rFonts w:ascii="仿宋_GB2312"/>
                <w:sz w:val="28"/>
                <w:szCs w:val="28"/>
              </w:rPr>
            </w:pPr>
            <w:r>
              <w:rPr>
                <w:rFonts w:hint="eastAsia" w:ascii="仿宋_GB2312" w:hAnsi="仿宋_GB2312" w:eastAsia="仿宋_GB2312" w:cs="仿宋_GB2312"/>
                <w:sz w:val="28"/>
                <w:szCs w:val="28"/>
              </w:rPr>
              <w:t>广州市增城区人民政府办公室综合一科        2022年</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日印发</w:t>
            </w:r>
          </w:p>
        </w:tc>
      </w:tr>
    </w:tbl>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1"/>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xNTMwNzlmMTdmYTRlNmM2OGMxMmZmN2FhZjVhMjUifQ=="/>
  </w:docVars>
  <w:rsids>
    <w:rsidRoot w:val="46074AD2"/>
    <w:rsid w:val="25C67B27"/>
    <w:rsid w:val="3FBE0418"/>
    <w:rsid w:val="46074AD2"/>
    <w:rsid w:val="6C1D3B49"/>
    <w:rsid w:val="6FF6C822"/>
    <w:rsid w:val="7FAF4F6F"/>
    <w:rsid w:val="7FF91888"/>
    <w:rsid w:val="99D52953"/>
    <w:rsid w:val="DAE59A9E"/>
    <w:rsid w:val="DF964D65"/>
    <w:rsid w:val="FFCFFB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rPr>
      <w:rFonts w:ascii="Calibri" w:hAnsi="Calibri" w:eastAsia="宋体" w:cs="Times New Roman"/>
    </w:rPr>
  </w:style>
  <w:style w:type="paragraph" w:styleId="3">
    <w:name w:val="footer"/>
    <w:basedOn w:val="1"/>
    <w:qFormat/>
    <w:uiPriority w:val="0"/>
    <w:pPr>
      <w:tabs>
        <w:tab w:val="center" w:pos="4153"/>
        <w:tab w:val="right" w:pos="8306"/>
      </w:tabs>
      <w:snapToGrid w:val="0"/>
      <w:jc w:val="left"/>
    </w:pPr>
    <w:rPr>
      <w:rFonts w:ascii="Calibri" w:hAnsi="Calibri" w:cs="Calibri"/>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NormalCharacter"/>
    <w:link w:val="8"/>
    <w:semiHidden/>
    <w:qFormat/>
    <w:uiPriority w:val="0"/>
  </w:style>
  <w:style w:type="paragraph" w:customStyle="1" w:styleId="8">
    <w:name w:val="UserStyle_1"/>
    <w:basedOn w:val="1"/>
    <w:link w:val="7"/>
    <w:qFormat/>
    <w:uiPriority w:val="0"/>
    <w:pPr>
      <w:widowControl/>
      <w:spacing w:after="160" w:line="240" w:lineRule="exact"/>
      <w:jc w:val="left"/>
    </w:pPr>
  </w:style>
  <w:style w:type="paragraph" w:customStyle="1" w:styleId="9">
    <w:name w:val="_Style 5"/>
    <w:qFormat/>
    <w:uiPriority w:val="0"/>
    <w:pPr>
      <w:widowControl w:val="0"/>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9437</Words>
  <Characters>9616</Characters>
  <Lines>0</Lines>
  <Paragraphs>0</Paragraphs>
  <TotalTime>4</TotalTime>
  <ScaleCrop>false</ScaleCrop>
  <LinksUpToDate>false</LinksUpToDate>
  <CharactersWithSpaces>9658</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2022-07-14T08:19:00Z</dcterms:created>
  <dc:creator>迷途小书童</dc:creator>
  <cp:lastModifiedBy>zcqf</cp:lastModifiedBy>
  <cp:lastPrinted>2022-07-14T10:16:00Z</cp:lastPrinted>
  <dcterms:modified xsi:type="dcterms:W3CDTF">2022-07-18T14:58:42Z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y fmtid="{D5CDD505-2E9C-101B-9397-08002B2CF9AE}" pid="3" name="ICV">
    <vt:lpwstr>8CCCE4786D4D4700809175FD5C63C2AF</vt:lpwstr>
  </property>
</Properties>
</file>