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Arial Unicode MS" w:hAnsi="Arial Unicode MS" w:eastAsia="Arial Unicode MS" w:cs="Arial Unicode MS"/>
          <w:kern w:val="2"/>
          <w:sz w:val="44"/>
          <w:szCs w:val="44"/>
          <w:highlight w:val="none"/>
          <w:lang w:val="en-US" w:eastAsia="zh-CN" w:bidi="ar-SA"/>
        </w:rPr>
      </w:pPr>
      <w:bookmarkStart w:id="0" w:name="OLE_LINK11"/>
      <w:r>
        <w:rPr>
          <w:rFonts w:hint="eastAsia" w:ascii="Arial Unicode MS" w:hAnsi="Arial Unicode MS" w:eastAsia="Arial Unicode MS" w:cs="Arial Unicode MS"/>
          <w:kern w:val="2"/>
          <w:sz w:val="44"/>
          <w:szCs w:val="44"/>
          <w:highlight w:val="none"/>
          <w:lang w:val="en-US" w:eastAsia="zh-CN" w:bidi="ar-SA"/>
        </w:rPr>
        <w:t>增城区集体经营性建设用地入市土地增值收益调节金征管实施细则（试行）</w:t>
      </w:r>
    </w:p>
    <w:bookmarkEnd w:id="0"/>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b/>
          <w:bCs/>
          <w:highlight w:val="none"/>
          <w:lang w:val="en-US" w:eastAsia="zh-CN"/>
        </w:rPr>
      </w:pPr>
      <w:r>
        <w:rPr>
          <w:rFonts w:hint="eastAsia"/>
          <w:b/>
          <w:bCs/>
          <w:highlight w:val="none"/>
          <w:lang w:val="en-US" w:eastAsia="zh-CN"/>
        </w:rPr>
        <w:t>（征求公众意见稿）</w:t>
      </w:r>
    </w:p>
    <w:p>
      <w:pPr>
        <w:pStyle w:val="5"/>
        <w:keepNext/>
        <w:keepLines/>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rPr>
          <w:rFonts w:hint="eastAsia"/>
          <w:highlight w:val="none"/>
        </w:rPr>
      </w:pPr>
      <w:r>
        <w:rPr>
          <w:rFonts w:hint="eastAsia"/>
          <w:highlight w:val="none"/>
        </w:rPr>
        <w:t>第一章</w:t>
      </w:r>
      <w:r>
        <w:rPr>
          <w:rFonts w:hint="eastAsia"/>
          <w:highlight w:val="none"/>
          <w:lang w:val="en-US" w:eastAsia="zh-CN"/>
        </w:rPr>
        <w:t xml:space="preserve">  </w:t>
      </w:r>
      <w:r>
        <w:rPr>
          <w:rFonts w:hint="eastAsia"/>
          <w:highlight w:val="none"/>
        </w:rPr>
        <w:t>总</w:t>
      </w:r>
      <w:r>
        <w:rPr>
          <w:rFonts w:hint="eastAsia"/>
          <w:highlight w:val="none"/>
          <w:lang w:val="en-US" w:eastAsia="zh-CN"/>
        </w:rPr>
        <w:t xml:space="preserve">   </w:t>
      </w:r>
      <w:r>
        <w:rPr>
          <w:rFonts w:hint="eastAsia"/>
          <w:highlight w:val="none"/>
        </w:rPr>
        <w:t>则</w:t>
      </w:r>
    </w:p>
    <w:p>
      <w:pPr>
        <w:pStyle w:val="6"/>
        <w:numPr>
          <w:ilvl w:val="0"/>
          <w:numId w:val="0"/>
        </w:numPr>
        <w:tabs>
          <w:tab w:val="clear" w:pos="420"/>
        </w:tabs>
        <w:bidi w:val="0"/>
        <w:ind w:left="0" w:leftChars="0" w:firstLine="562" w:firstLineChars="200"/>
        <w:rPr>
          <w:rFonts w:hint="default"/>
          <w:highlight w:val="none"/>
          <w:lang w:val="en-US" w:eastAsia="zh-CN"/>
        </w:rPr>
      </w:pPr>
      <w:r>
        <w:rPr>
          <w:rFonts w:hint="eastAsia"/>
          <w:highlight w:val="none"/>
        </w:rPr>
        <w:t xml:space="preserve">第一条 </w:t>
      </w:r>
      <w:r>
        <w:rPr>
          <w:rFonts w:hint="eastAsia"/>
          <w:highlight w:val="none"/>
          <w:lang w:val="en-US" w:eastAsia="zh-CN"/>
        </w:rPr>
        <w:t xml:space="preserve"> 目的意义</w:t>
      </w:r>
    </w:p>
    <w:p>
      <w:pPr>
        <w:bidi w:val="0"/>
        <w:rPr>
          <w:rFonts w:hint="eastAsia"/>
          <w:highlight w:val="none"/>
          <w:lang w:val="en-US" w:eastAsia="zh-CN"/>
        </w:rPr>
      </w:pPr>
      <w:bookmarkStart w:id="1" w:name="OLE_LINK12"/>
      <w:r>
        <w:rPr>
          <w:rFonts w:hint="eastAsia"/>
          <w:highlight w:val="none"/>
          <w:lang w:val="en-US" w:eastAsia="zh-CN"/>
        </w:rPr>
        <w:t>为深化增城区农村集体经营性建设用地入市试点工作，完善集体经营性建设用</w:t>
      </w:r>
      <w:bookmarkStart w:id="2" w:name="OLE_LINK3"/>
      <w:r>
        <w:rPr>
          <w:rFonts w:hint="eastAsia"/>
          <w:highlight w:val="none"/>
          <w:lang w:val="en-US" w:eastAsia="zh-CN"/>
        </w:rPr>
        <w:t>地土地增值收益调节金征管程序，建立兼顾国家、集体、个人的土地增值收益分配机制，保障农民公平分享土地增值收益，根据《财政部 国土资源部关于印发农村</w:t>
      </w:r>
      <w:bookmarkEnd w:id="2"/>
      <w:r>
        <w:rPr>
          <w:rFonts w:hint="eastAsia"/>
          <w:highlight w:val="none"/>
          <w:lang w:val="en-US" w:eastAsia="zh-CN"/>
        </w:rPr>
        <w:t>集体经营性建设用地土地增值收益调节金征收使用管理暂行办法的通知》（财税〔2016〕41号）、《财政部 自然资源部关于延续实施农村集体经营性建设用地土地增值收益调节金政策的通知》（财税〔2023〕52号）等文</w:t>
      </w:r>
      <w:bookmarkStart w:id="3" w:name="OLE_LINK2"/>
      <w:r>
        <w:rPr>
          <w:rFonts w:hint="eastAsia"/>
          <w:highlight w:val="none"/>
          <w:lang w:val="en-US" w:eastAsia="zh-CN"/>
        </w:rPr>
        <w:t>件</w:t>
      </w:r>
      <w:bookmarkEnd w:id="3"/>
      <w:r>
        <w:rPr>
          <w:rFonts w:hint="eastAsia"/>
          <w:highlight w:val="none"/>
          <w:lang w:val="en-US" w:eastAsia="zh-CN"/>
        </w:rPr>
        <w:t>精神，结合我区入市实践，制定本实施细则。</w:t>
      </w:r>
    </w:p>
    <w:bookmarkEnd w:id="1"/>
    <w:p>
      <w:pPr>
        <w:pStyle w:val="6"/>
        <w:numPr>
          <w:ilvl w:val="0"/>
          <w:numId w:val="0"/>
        </w:numPr>
        <w:tabs>
          <w:tab w:val="clear" w:pos="420"/>
        </w:tabs>
        <w:bidi w:val="0"/>
        <w:ind w:left="0" w:leftChars="0" w:firstLine="562" w:firstLineChars="200"/>
        <w:rPr>
          <w:rFonts w:hint="default" w:ascii="Times New Roman" w:hAnsi="Times New Roman"/>
          <w:highlight w:val="none"/>
          <w:lang w:val="en-US" w:eastAsia="zh-CN"/>
        </w:rPr>
      </w:pPr>
      <w:r>
        <w:rPr>
          <w:rFonts w:hint="eastAsia" w:ascii="Times New Roman" w:hAnsi="Times New Roman"/>
          <w:highlight w:val="none"/>
        </w:rPr>
        <w:t xml:space="preserve">第二条 </w:t>
      </w:r>
      <w:r>
        <w:rPr>
          <w:rFonts w:hint="eastAsia" w:ascii="Times New Roman" w:hAnsi="Times New Roman"/>
          <w:highlight w:val="none"/>
          <w:lang w:val="en-US" w:eastAsia="zh-CN"/>
        </w:rPr>
        <w:t xml:space="preserve"> 概念定义</w:t>
      </w:r>
    </w:p>
    <w:p>
      <w:pPr>
        <w:bidi w:val="0"/>
        <w:rPr>
          <w:rFonts w:hint="eastAsia"/>
          <w:highlight w:val="none"/>
          <w:lang w:val="en-US" w:eastAsia="zh-CN"/>
        </w:rPr>
      </w:pPr>
      <w:r>
        <w:rPr>
          <w:rFonts w:hint="eastAsia"/>
          <w:highlight w:val="none"/>
          <w:lang w:val="en-US" w:eastAsia="zh-CN"/>
        </w:rPr>
        <w:t>本实施细则所称土地增值收益调节金（以下简称“调节金”），是指按照建立同权同价、流转顺畅、收益共享的集体经营性建设用地入市制度的目标，在集体经营性建设用地入市及再转让环节，对土地增值收益收取的资金。</w:t>
      </w:r>
    </w:p>
    <w:p>
      <w:pPr>
        <w:pStyle w:val="6"/>
        <w:numPr>
          <w:ilvl w:val="0"/>
          <w:numId w:val="0"/>
        </w:numPr>
        <w:tabs>
          <w:tab w:val="clear" w:pos="420"/>
        </w:tabs>
        <w:bidi w:val="0"/>
        <w:ind w:left="0" w:leftChars="0" w:firstLine="562" w:firstLineChars="200"/>
        <w:rPr>
          <w:rFonts w:hint="default" w:ascii="Times New Roman" w:hAnsi="Times New Roman" w:eastAsia="楷体_GB2312"/>
          <w:highlight w:val="none"/>
          <w:lang w:val="en-US" w:eastAsia="zh-CN"/>
        </w:rPr>
      </w:pPr>
      <w:r>
        <w:rPr>
          <w:rFonts w:hint="eastAsia" w:ascii="Times New Roman" w:hAnsi="Times New Roman"/>
          <w:highlight w:val="none"/>
        </w:rPr>
        <w:t xml:space="preserve">第三条 </w:t>
      </w:r>
      <w:r>
        <w:rPr>
          <w:rFonts w:hint="eastAsia" w:ascii="Times New Roman" w:hAnsi="Times New Roman"/>
          <w:highlight w:val="none"/>
          <w:lang w:val="en-US" w:eastAsia="zh-CN"/>
        </w:rPr>
        <w:t xml:space="preserve"> 适用范围</w:t>
      </w:r>
    </w:p>
    <w:p>
      <w:pPr>
        <w:bidi w:val="0"/>
        <w:rPr>
          <w:rFonts w:hint="eastAsia"/>
          <w:highlight w:val="none"/>
          <w:lang w:val="en-US" w:eastAsia="zh-CN"/>
        </w:rPr>
      </w:pPr>
      <w:r>
        <w:rPr>
          <w:rFonts w:hint="eastAsia"/>
          <w:highlight w:val="none"/>
          <w:lang w:val="en-US" w:eastAsia="zh-CN"/>
        </w:rPr>
        <w:t>集体经济组织通过公共资源交易中心以</w:t>
      </w:r>
      <w:bookmarkStart w:id="4" w:name="OLE_LINK1"/>
      <w:r>
        <w:rPr>
          <w:rFonts w:hint="eastAsia"/>
          <w:highlight w:val="none"/>
          <w:lang w:val="en-US" w:eastAsia="zh-CN"/>
        </w:rPr>
        <w:t>出让、作价</w:t>
      </w:r>
      <w:bookmarkEnd w:id="4"/>
      <w:r>
        <w:rPr>
          <w:rFonts w:hint="eastAsia"/>
          <w:highlight w:val="none"/>
          <w:lang w:val="en-US" w:eastAsia="zh-CN"/>
        </w:rPr>
        <w:t>出资（入股）等方式取得集体经营性建设用地入市收益，以及入市后的集体经营性建设用地使用权人以</w:t>
      </w:r>
      <w:r>
        <w:rPr>
          <w:rFonts w:hint="eastAsia" w:ascii="Times New Roman" w:hAnsi="Times New Roman" w:eastAsia="仿宋_GB2312" w:cstheme="minorBidi"/>
          <w:kern w:val="2"/>
          <w:sz w:val="28"/>
          <w:szCs w:val="22"/>
          <w:highlight w:val="none"/>
          <w:lang w:val="en-US" w:eastAsia="zh-CN" w:bidi="ar-SA"/>
        </w:rPr>
        <w:t>出售、交换、赠与</w:t>
      </w:r>
      <w:r>
        <w:rPr>
          <w:rFonts w:hint="eastAsia"/>
          <w:highlight w:val="none"/>
          <w:lang w:val="en-US" w:eastAsia="zh-CN"/>
        </w:rPr>
        <w:t>或其他转让方式取得再转让收益时，应向国家缴纳调节金。</w:t>
      </w:r>
    </w:p>
    <w:p>
      <w:pPr>
        <w:pStyle w:val="5"/>
        <w:keepNext/>
        <w:keepLines/>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rPr>
          <w:rFonts w:hint="default"/>
          <w:highlight w:val="none"/>
          <w:lang w:val="en-US"/>
        </w:rPr>
      </w:pPr>
      <w:r>
        <w:rPr>
          <w:rFonts w:hint="eastAsia"/>
          <w:highlight w:val="none"/>
        </w:rPr>
        <w:t>第二章</w:t>
      </w:r>
      <w:r>
        <w:rPr>
          <w:rFonts w:hint="eastAsia"/>
          <w:highlight w:val="none"/>
          <w:lang w:val="en-US" w:eastAsia="zh-CN"/>
        </w:rPr>
        <w:t xml:space="preserve">  征收比例</w:t>
      </w:r>
    </w:p>
    <w:p>
      <w:pPr>
        <w:pStyle w:val="6"/>
        <w:numPr>
          <w:ilvl w:val="0"/>
          <w:numId w:val="0"/>
        </w:numPr>
        <w:tabs>
          <w:tab w:val="clear" w:pos="420"/>
        </w:tabs>
        <w:bidi w:val="0"/>
        <w:ind w:left="0" w:leftChars="0" w:firstLine="562" w:firstLineChars="200"/>
        <w:rPr>
          <w:rFonts w:hint="default" w:ascii="Times New Roman" w:hAnsi="Times New Roman"/>
          <w:highlight w:val="none"/>
          <w:lang w:val="en-US" w:eastAsia="zh-CN"/>
        </w:rPr>
      </w:pPr>
      <w:r>
        <w:rPr>
          <w:rFonts w:hint="eastAsia" w:ascii="Times New Roman" w:hAnsi="Times New Roman"/>
          <w:highlight w:val="none"/>
        </w:rPr>
        <w:t>第</w:t>
      </w:r>
      <w:r>
        <w:rPr>
          <w:rFonts w:hint="eastAsia" w:ascii="Times New Roman" w:hAnsi="Times New Roman"/>
          <w:highlight w:val="none"/>
          <w:lang w:val="en-US" w:eastAsia="zh-CN"/>
        </w:rPr>
        <w:t>四</w:t>
      </w:r>
      <w:r>
        <w:rPr>
          <w:rFonts w:hint="eastAsia" w:ascii="Times New Roman" w:hAnsi="Times New Roman"/>
          <w:highlight w:val="none"/>
        </w:rPr>
        <w:t>条</w:t>
      </w:r>
      <w:r>
        <w:rPr>
          <w:rFonts w:hint="eastAsia" w:ascii="Times New Roman" w:hAnsi="Times New Roman"/>
          <w:highlight w:val="none"/>
          <w:lang w:val="en-US" w:eastAsia="zh-CN"/>
        </w:rPr>
        <w:t xml:space="preserve">  征收比例</w:t>
      </w:r>
    </w:p>
    <w:p>
      <w:pPr>
        <w:bidi w:val="0"/>
        <w:rPr>
          <w:rFonts w:hint="eastAsia"/>
          <w:highlight w:val="none"/>
          <w:lang w:val="en-US" w:eastAsia="zh-CN"/>
        </w:rPr>
      </w:pPr>
      <w:r>
        <w:rPr>
          <w:rFonts w:hint="eastAsia"/>
          <w:highlight w:val="none"/>
          <w:lang w:val="en-US" w:eastAsia="zh-CN"/>
        </w:rPr>
        <w:t>综合考虑不同用途、不同基准地价等级等影响因素，依据集体经营性建设用地入市土地增值收益测算结</w:t>
      </w:r>
      <w:bookmarkStart w:id="5" w:name="OLE_LINK4"/>
      <w:r>
        <w:rPr>
          <w:rFonts w:hint="eastAsia"/>
          <w:highlight w:val="none"/>
          <w:lang w:val="en-US" w:eastAsia="zh-CN"/>
        </w:rPr>
        <w:t>果</w:t>
      </w:r>
      <w:bookmarkEnd w:id="5"/>
      <w:r>
        <w:rPr>
          <w:rFonts w:hint="eastAsia"/>
          <w:highlight w:val="none"/>
          <w:lang w:val="en-US" w:eastAsia="zh-CN"/>
        </w:rPr>
        <w:t>，经优化调整设定不同的调节金征收比例，集体商服用地基准地价级别5-7级征收比例为30%，8-11级征收比例为</w:t>
      </w:r>
      <w:bookmarkStart w:id="6" w:name="OLE_LINK6"/>
      <w:r>
        <w:rPr>
          <w:rFonts w:hint="eastAsia"/>
          <w:highlight w:val="none"/>
          <w:lang w:val="en-US" w:eastAsia="zh-CN"/>
        </w:rPr>
        <w:t>20%</w:t>
      </w:r>
      <w:bookmarkEnd w:id="6"/>
      <w:r>
        <w:rPr>
          <w:rFonts w:hint="eastAsia"/>
          <w:highlight w:val="none"/>
          <w:lang w:val="en-US" w:eastAsia="zh-CN"/>
        </w:rPr>
        <w:t>；集体保障性租赁住房用地基准地价级别6-7级征收比例为20%，8-11级征收比例为10%；集体工业用地、公共管理与公共服务（新闻出版、教育、科教、医疗卫生）用地依据相应的工业用地基准地价级别</w:t>
      </w:r>
      <w:bookmarkStart w:id="7" w:name="OLE_LINK7"/>
      <w:r>
        <w:rPr>
          <w:rFonts w:hint="eastAsia"/>
          <w:highlight w:val="none"/>
          <w:lang w:val="en-US" w:eastAsia="zh-CN"/>
        </w:rPr>
        <w:t>4-5级</w:t>
      </w:r>
      <w:bookmarkEnd w:id="7"/>
      <w:r>
        <w:rPr>
          <w:rFonts w:hint="eastAsia"/>
          <w:highlight w:val="none"/>
          <w:lang w:val="en-US" w:eastAsia="zh-CN"/>
        </w:rPr>
        <w:t>征收比例为</w:t>
      </w:r>
      <w:bookmarkStart w:id="8" w:name="OLE_LINK9"/>
      <w:r>
        <w:rPr>
          <w:rFonts w:hint="eastAsia"/>
          <w:highlight w:val="none"/>
          <w:lang w:val="en-US" w:eastAsia="zh-CN"/>
        </w:rPr>
        <w:t>5%</w:t>
      </w:r>
      <w:bookmarkEnd w:id="8"/>
      <w:r>
        <w:rPr>
          <w:rFonts w:hint="eastAsia"/>
          <w:highlight w:val="none"/>
          <w:lang w:val="en-US" w:eastAsia="zh-CN"/>
        </w:rPr>
        <w:t>、</w:t>
      </w:r>
      <w:bookmarkStart w:id="9" w:name="OLE_LINK8"/>
      <w:r>
        <w:rPr>
          <w:rFonts w:hint="eastAsia"/>
          <w:highlight w:val="none"/>
          <w:lang w:val="en-US" w:eastAsia="zh-CN"/>
        </w:rPr>
        <w:t>6-8级</w:t>
      </w:r>
      <w:bookmarkEnd w:id="9"/>
      <w:r>
        <w:rPr>
          <w:rFonts w:hint="eastAsia"/>
          <w:highlight w:val="none"/>
          <w:lang w:val="en-US" w:eastAsia="zh-CN"/>
        </w:rPr>
        <w:t>征收比例为</w:t>
      </w:r>
      <w:bookmarkStart w:id="10" w:name="OLE_LINK10"/>
      <w:r>
        <w:rPr>
          <w:rFonts w:hint="eastAsia"/>
          <w:highlight w:val="none"/>
          <w:lang w:val="en-US" w:eastAsia="zh-CN"/>
        </w:rPr>
        <w:t>3%</w:t>
      </w:r>
      <w:bookmarkEnd w:id="10"/>
      <w:r>
        <w:rPr>
          <w:rFonts w:hint="eastAsia"/>
          <w:highlight w:val="none"/>
          <w:lang w:val="en-US" w:eastAsia="zh-CN"/>
        </w:rPr>
        <w:t>。</w:t>
      </w:r>
    </w:p>
    <w:p>
      <w:pPr>
        <w:bidi w:val="0"/>
        <w:ind w:left="0" w:leftChars="0" w:firstLine="0" w:firstLineChars="0"/>
        <w:rPr>
          <w:rFonts w:hint="eastAsia" w:ascii="楷体" w:hAnsi="楷体" w:eastAsia="楷体" w:cs="黑体"/>
          <w:sz w:val="24"/>
          <w:szCs w:val="28"/>
          <w:highlight w:val="none"/>
          <w:lang w:val="en-US" w:eastAsia="zh-CN"/>
        </w:rPr>
      </w:pPr>
    </w:p>
    <w:p>
      <w:pPr>
        <w:pStyle w:val="6"/>
        <w:numPr>
          <w:ilvl w:val="0"/>
          <w:numId w:val="0"/>
        </w:numPr>
        <w:tabs>
          <w:tab w:val="clear" w:pos="420"/>
        </w:tabs>
        <w:bidi w:val="0"/>
        <w:ind w:left="0" w:leftChars="0" w:firstLine="562" w:firstLineChars="200"/>
        <w:rPr>
          <w:rFonts w:hint="eastAsia" w:ascii="Times New Roman" w:hAnsi="Times New Roman"/>
          <w:highlight w:val="none"/>
          <w:lang w:val="en-US" w:eastAsia="zh-CN"/>
        </w:rPr>
      </w:pPr>
      <w:r>
        <w:rPr>
          <w:rFonts w:hint="eastAsia" w:ascii="Times New Roman" w:hAnsi="Times New Roman"/>
          <w:highlight w:val="none"/>
        </w:rPr>
        <w:t>第</w:t>
      </w:r>
      <w:r>
        <w:rPr>
          <w:rFonts w:hint="eastAsia" w:ascii="Times New Roman" w:hAnsi="Times New Roman"/>
          <w:highlight w:val="none"/>
          <w:lang w:val="en-US" w:eastAsia="zh-CN"/>
        </w:rPr>
        <w:t>五</w:t>
      </w:r>
      <w:r>
        <w:rPr>
          <w:rFonts w:hint="eastAsia" w:ascii="Times New Roman" w:hAnsi="Times New Roman"/>
          <w:highlight w:val="none"/>
        </w:rPr>
        <w:t>条</w:t>
      </w:r>
      <w:r>
        <w:rPr>
          <w:rFonts w:hint="eastAsia" w:ascii="Times New Roman" w:hAnsi="Times New Roman"/>
          <w:highlight w:val="none"/>
          <w:lang w:val="en-US" w:eastAsia="zh-CN"/>
        </w:rPr>
        <w:t xml:space="preserve"> </w:t>
      </w:r>
      <w:r>
        <w:rPr>
          <w:rFonts w:hint="eastAsia"/>
          <w:highlight w:val="none"/>
          <w:lang w:val="en-US" w:eastAsia="zh-CN"/>
        </w:rPr>
        <w:t>入市</w:t>
      </w:r>
      <w:r>
        <w:rPr>
          <w:rFonts w:hint="eastAsia" w:ascii="Times New Roman" w:hAnsi="Times New Roman"/>
          <w:highlight w:val="none"/>
          <w:lang w:val="en-US" w:eastAsia="zh-CN"/>
        </w:rPr>
        <w:t>计征基数</w:t>
      </w:r>
    </w:p>
    <w:p>
      <w:pPr>
        <w:rPr>
          <w:rFonts w:hint="eastAsia"/>
          <w:highlight w:val="none"/>
          <w:lang w:eastAsia="zh-CN"/>
        </w:rPr>
      </w:pPr>
      <w:r>
        <w:rPr>
          <w:rFonts w:hint="eastAsia"/>
          <w:highlight w:val="none"/>
          <w:lang w:val="en-US" w:eastAsia="zh-CN"/>
        </w:rPr>
        <w:t>为方便调节金计算和征收，采取以</w:t>
      </w:r>
      <w:r>
        <w:rPr>
          <w:rFonts w:hint="eastAsia"/>
          <w:highlight w:val="none"/>
        </w:rPr>
        <w:t>集体经营性建设用地</w:t>
      </w:r>
      <w:r>
        <w:rPr>
          <w:rFonts w:hint="eastAsia"/>
          <w:highlight w:val="none"/>
          <w:lang w:val="en-US" w:eastAsia="zh-CN"/>
        </w:rPr>
        <w:t>入市成交总价款作为调节金征收基数，按照一定比例征收调节金的简易计征办法，</w:t>
      </w:r>
      <w:r>
        <w:rPr>
          <w:rFonts w:hint="eastAsia"/>
          <w:highlight w:val="none"/>
        </w:rPr>
        <w:t>以出让方式入市的，调节金征收基数为成交总价款</w:t>
      </w:r>
      <w:r>
        <w:rPr>
          <w:rFonts w:hint="eastAsia"/>
          <w:highlight w:val="none"/>
          <w:lang w:eastAsia="zh-CN"/>
        </w:rPr>
        <w:t>；</w:t>
      </w:r>
      <w:r>
        <w:rPr>
          <w:rFonts w:hint="eastAsia"/>
          <w:highlight w:val="none"/>
        </w:rPr>
        <w:t>以作价出资（入股）</w:t>
      </w:r>
      <w:r>
        <w:rPr>
          <w:rFonts w:hint="eastAsia" w:ascii="Times New Roman" w:hAnsi="Times New Roman" w:eastAsia="仿宋_GB2312" w:cstheme="minorBidi"/>
          <w:kern w:val="2"/>
          <w:sz w:val="28"/>
          <w:szCs w:val="22"/>
          <w:highlight w:val="none"/>
          <w:lang w:val="en-US" w:eastAsia="zh-CN" w:bidi="ar-SA"/>
        </w:rPr>
        <w:t>方式</w:t>
      </w:r>
      <w:r>
        <w:rPr>
          <w:rFonts w:hint="eastAsia" w:cstheme="minorBidi"/>
          <w:kern w:val="2"/>
          <w:sz w:val="28"/>
          <w:szCs w:val="22"/>
          <w:highlight w:val="none"/>
          <w:lang w:val="en-US" w:eastAsia="zh-CN" w:bidi="ar-SA"/>
        </w:rPr>
        <w:t>使用</w:t>
      </w:r>
      <w:r>
        <w:rPr>
          <w:rFonts w:hint="eastAsia"/>
          <w:highlight w:val="none"/>
          <w:lang w:val="en-US" w:eastAsia="zh-CN"/>
        </w:rPr>
        <w:t>集体经营性建设用地的</w:t>
      </w:r>
      <w:r>
        <w:rPr>
          <w:rFonts w:hint="eastAsia"/>
          <w:highlight w:val="none"/>
        </w:rPr>
        <w:t>，出资入股价值为成交总价款</w:t>
      </w:r>
      <w:r>
        <w:rPr>
          <w:rFonts w:hint="eastAsia"/>
          <w:highlight w:val="none"/>
          <w:lang w:eastAsia="zh-CN"/>
        </w:rPr>
        <w:t>。</w:t>
      </w:r>
    </w:p>
    <w:p>
      <w:pPr>
        <w:rPr>
          <w:rFonts w:hint="eastAsia"/>
          <w:highlight w:val="none"/>
          <w:lang w:val="en-US" w:eastAsia="zh-CN"/>
        </w:rPr>
      </w:pPr>
      <w:r>
        <w:rPr>
          <w:rFonts w:hint="eastAsia"/>
          <w:highlight w:val="none"/>
          <w:lang w:eastAsia="zh-CN"/>
        </w:rPr>
        <w:t>集体经营性建设用地存在地上建筑物及其附着物的，应对地上建筑物及其附着物按重置价进行评估，并根据评估结果，在上述成交总价款中扣除地上建筑物及其附着物的相应价值后计征。</w:t>
      </w:r>
    </w:p>
    <w:p>
      <w:pPr>
        <w:pStyle w:val="6"/>
        <w:numPr>
          <w:ilvl w:val="0"/>
          <w:numId w:val="0"/>
        </w:numPr>
        <w:tabs>
          <w:tab w:val="clear" w:pos="420"/>
        </w:tabs>
        <w:bidi w:val="0"/>
        <w:ind w:left="0" w:leftChars="0" w:firstLine="562" w:firstLineChars="200"/>
        <w:rPr>
          <w:rFonts w:hint="default" w:ascii="Times New Roman" w:hAnsi="Times New Roman"/>
          <w:highlight w:val="none"/>
          <w:lang w:val="en-US" w:eastAsia="zh-CN"/>
        </w:rPr>
      </w:pPr>
      <w:r>
        <w:rPr>
          <w:rFonts w:hint="eastAsia" w:ascii="Times New Roman" w:hAnsi="Times New Roman"/>
          <w:highlight w:val="none"/>
        </w:rPr>
        <w:t>第</w:t>
      </w:r>
      <w:r>
        <w:rPr>
          <w:rFonts w:hint="eastAsia" w:ascii="Times New Roman" w:hAnsi="Times New Roman"/>
          <w:highlight w:val="none"/>
          <w:lang w:val="en-US" w:eastAsia="zh-CN"/>
        </w:rPr>
        <w:t>六</w:t>
      </w:r>
      <w:r>
        <w:rPr>
          <w:rFonts w:hint="eastAsia" w:ascii="Times New Roman" w:hAnsi="Times New Roman"/>
          <w:highlight w:val="none"/>
        </w:rPr>
        <w:t>条</w:t>
      </w:r>
      <w:r>
        <w:rPr>
          <w:rFonts w:hint="eastAsia" w:ascii="Times New Roman" w:hAnsi="Times New Roman"/>
          <w:highlight w:val="none"/>
          <w:lang w:val="en-US" w:eastAsia="zh-CN"/>
        </w:rPr>
        <w:t xml:space="preserve">  </w:t>
      </w:r>
      <w:r>
        <w:rPr>
          <w:rFonts w:hint="eastAsia"/>
          <w:highlight w:val="none"/>
          <w:lang w:val="en-US" w:eastAsia="zh-CN"/>
        </w:rPr>
        <w:t>再</w:t>
      </w:r>
      <w:r>
        <w:rPr>
          <w:rFonts w:hint="eastAsia" w:ascii="Times New Roman" w:hAnsi="Times New Roman"/>
          <w:highlight w:val="none"/>
          <w:lang w:val="en-US" w:eastAsia="zh-CN"/>
        </w:rPr>
        <w:t>转让计征基数</w:t>
      </w:r>
    </w:p>
    <w:p>
      <w:pPr>
        <w:bidi w:val="0"/>
        <w:rPr>
          <w:rFonts w:hint="eastAsia"/>
          <w:highlight w:val="none"/>
        </w:rPr>
      </w:pPr>
      <w:r>
        <w:rPr>
          <w:rFonts w:hint="eastAsia"/>
          <w:highlight w:val="none"/>
        </w:rPr>
        <w:t>以出售、交换等方式再转让集体经营性建设用地使用权的，</w:t>
      </w:r>
      <w:r>
        <w:rPr>
          <w:rFonts w:hint="eastAsia"/>
          <w:highlight w:val="none"/>
          <w:lang w:val="en-US" w:eastAsia="zh-CN"/>
        </w:rPr>
        <w:t>以</w:t>
      </w:r>
      <w:r>
        <w:rPr>
          <w:rFonts w:hint="eastAsia"/>
          <w:highlight w:val="none"/>
        </w:rPr>
        <w:t>再转让收入</w:t>
      </w:r>
      <w:r>
        <w:rPr>
          <w:rFonts w:hint="eastAsia"/>
          <w:highlight w:val="none"/>
          <w:lang w:val="en-US" w:eastAsia="zh-CN"/>
        </w:rPr>
        <w:t>与入市成交总价款的差额作为调节金征收基数，</w:t>
      </w:r>
      <w:r>
        <w:rPr>
          <w:rFonts w:hint="eastAsia"/>
          <w:highlight w:val="none"/>
        </w:rPr>
        <w:t>再转让收入按以下方式确定：</w:t>
      </w:r>
    </w:p>
    <w:p>
      <w:pPr>
        <w:bidi w:val="0"/>
        <w:rPr>
          <w:rFonts w:hint="eastAsia"/>
          <w:highlight w:val="none"/>
        </w:rPr>
      </w:pPr>
      <w:r>
        <w:rPr>
          <w:rFonts w:hint="eastAsia"/>
          <w:highlight w:val="none"/>
        </w:rPr>
        <w:t>（一）以出售方式再转让的，销售价款为再转让收入。</w:t>
      </w:r>
    </w:p>
    <w:p>
      <w:pPr>
        <w:bidi w:val="0"/>
        <w:rPr>
          <w:rFonts w:hint="eastAsia"/>
          <w:highlight w:val="none"/>
        </w:rPr>
      </w:pPr>
      <w:r>
        <w:rPr>
          <w:rFonts w:hint="eastAsia"/>
          <w:highlight w:val="none"/>
        </w:rPr>
        <w:t>（二）以交换方式再转让并存在差价补偿的，被转让土地与交换土地或房产的评估价差额与合同约定差价补偿款中较大者为再转让收入。其中，除土地或房产以外的实物等非货币形式补偿差价的，其评估价值为相应差价补偿。</w:t>
      </w:r>
    </w:p>
    <w:p>
      <w:pPr>
        <w:bidi w:val="0"/>
        <w:rPr>
          <w:rFonts w:hint="eastAsia"/>
          <w:highlight w:val="none"/>
        </w:rPr>
      </w:pPr>
      <w:r>
        <w:rPr>
          <w:rFonts w:hint="eastAsia"/>
          <w:highlight w:val="none"/>
        </w:rPr>
        <w:t>（三）以抵债、司法裁定等视同转让方式再转让的，评估价或合同协议价中较高者为再转让收入。</w:t>
      </w:r>
    </w:p>
    <w:p>
      <w:pPr>
        <w:bidi w:val="0"/>
        <w:rPr>
          <w:rFonts w:hint="eastAsia"/>
          <w:highlight w:val="none"/>
        </w:rPr>
      </w:pPr>
      <w:r>
        <w:rPr>
          <w:rFonts w:hint="eastAsia"/>
          <w:highlight w:val="none"/>
        </w:rPr>
        <w:t>（</w:t>
      </w:r>
      <w:r>
        <w:rPr>
          <w:rFonts w:hint="eastAsia"/>
          <w:highlight w:val="none"/>
          <w:lang w:eastAsia="zh-CN"/>
        </w:rPr>
        <w:t>四</w:t>
      </w:r>
      <w:r>
        <w:rPr>
          <w:rFonts w:hint="eastAsia"/>
          <w:highlight w:val="none"/>
        </w:rPr>
        <w:t>）对无偿赠与直系亲属或承担直接赡养义务人，以及通过境内非营利社会团体、国家机关赠与国内教育、民政等公益福利事业单位的，暂不征收调节金。其他赠与行为以评估价为再转让收入。</w:t>
      </w:r>
    </w:p>
    <w:p>
      <w:pPr>
        <w:bidi w:val="0"/>
        <w:ind w:firstLine="560"/>
        <w:rPr>
          <w:rFonts w:hint="eastAsia"/>
          <w:highlight w:val="none"/>
        </w:rPr>
      </w:pPr>
      <w:r>
        <w:rPr>
          <w:rFonts w:hint="eastAsia"/>
          <w:highlight w:val="none"/>
          <w:lang w:eastAsia="zh-CN"/>
        </w:rPr>
        <w:t>集体经营性建设用地入市后，转让方在该集体经营性建设用地上新建建筑物及其附着物的，应对新建的地上建筑物及其附着物按重置价进行评估，并根据评估结果，在</w:t>
      </w:r>
      <w:r>
        <w:rPr>
          <w:rFonts w:hint="eastAsia"/>
          <w:highlight w:val="none"/>
        </w:rPr>
        <w:t>再转让收入</w:t>
      </w:r>
      <w:r>
        <w:rPr>
          <w:rFonts w:hint="eastAsia"/>
          <w:highlight w:val="none"/>
          <w:lang w:val="en-US" w:eastAsia="zh-CN"/>
        </w:rPr>
        <w:t>与入市成交总价款的差额</w:t>
      </w:r>
      <w:r>
        <w:rPr>
          <w:rFonts w:hint="eastAsia"/>
          <w:highlight w:val="none"/>
          <w:lang w:eastAsia="zh-CN"/>
        </w:rPr>
        <w:t>扣减该新建地上建筑物及其附着物的相应价值后计征。</w:t>
      </w:r>
    </w:p>
    <w:p>
      <w:pPr>
        <w:pStyle w:val="6"/>
        <w:numPr>
          <w:ilvl w:val="0"/>
          <w:numId w:val="0"/>
        </w:numPr>
        <w:tabs>
          <w:tab w:val="clear" w:pos="420"/>
        </w:tabs>
        <w:bidi w:val="0"/>
        <w:ind w:left="0" w:leftChars="0" w:firstLine="562" w:firstLineChars="200"/>
        <w:rPr>
          <w:rFonts w:hint="default" w:ascii="Times New Roman" w:hAnsi="Times New Roman"/>
          <w:highlight w:val="none"/>
          <w:lang w:val="en-US" w:eastAsia="zh-CN"/>
        </w:rPr>
      </w:pPr>
      <w:r>
        <w:rPr>
          <w:rFonts w:hint="eastAsia" w:ascii="Times New Roman" w:hAnsi="Times New Roman"/>
          <w:highlight w:val="none"/>
          <w:lang w:val="en-US" w:eastAsia="zh-CN"/>
        </w:rPr>
        <w:t xml:space="preserve">第七条  </w:t>
      </w:r>
      <w:bookmarkStart w:id="11" w:name="OLE_LINK15"/>
      <w:r>
        <w:rPr>
          <w:rFonts w:hint="eastAsia" w:ascii="Times New Roman" w:hAnsi="Times New Roman"/>
          <w:highlight w:val="none"/>
          <w:lang w:val="en-US" w:eastAsia="zh-CN"/>
        </w:rPr>
        <w:t>基数</w:t>
      </w:r>
      <w:bookmarkStart w:id="12" w:name="OLE_LINK16"/>
      <w:r>
        <w:rPr>
          <w:rFonts w:hint="eastAsia" w:ascii="Times New Roman" w:hAnsi="Times New Roman"/>
          <w:highlight w:val="none"/>
          <w:lang w:val="en-US" w:eastAsia="zh-CN"/>
        </w:rPr>
        <w:t>约束</w:t>
      </w:r>
      <w:bookmarkEnd w:id="11"/>
      <w:bookmarkEnd w:id="12"/>
    </w:p>
    <w:p>
      <w:pPr>
        <w:bidi w:val="0"/>
        <w:rPr>
          <w:rFonts w:hint="eastAsia"/>
          <w:highlight w:val="none"/>
          <w:lang w:eastAsia="zh-CN"/>
        </w:rPr>
      </w:pPr>
      <w:r>
        <w:rPr>
          <w:rFonts w:hint="eastAsia"/>
          <w:highlight w:val="none"/>
        </w:rPr>
        <w:t>集体经营性建设用地入市、再转让价格低于</w:t>
      </w:r>
      <w:r>
        <w:rPr>
          <w:rFonts w:hint="eastAsia"/>
          <w:highlight w:val="none"/>
          <w:lang w:val="en-US" w:eastAsia="zh-CN"/>
        </w:rPr>
        <w:t>经备案的评估地价的</w:t>
      </w:r>
      <w:r>
        <w:rPr>
          <w:rFonts w:hint="eastAsia"/>
          <w:highlight w:val="none"/>
          <w:lang w:eastAsia="zh-CN"/>
        </w:rPr>
        <w:t>，以</w:t>
      </w:r>
      <w:r>
        <w:rPr>
          <w:rFonts w:hint="eastAsia"/>
          <w:highlight w:val="none"/>
          <w:lang w:val="en-US" w:eastAsia="zh-CN"/>
        </w:rPr>
        <w:t>经备案的评估地价</w:t>
      </w:r>
      <w:r>
        <w:rPr>
          <w:rFonts w:hint="eastAsia"/>
          <w:highlight w:val="none"/>
          <w:lang w:eastAsia="zh-CN"/>
        </w:rPr>
        <w:t>作为调节金的征收基数。</w:t>
      </w:r>
    </w:p>
    <w:p>
      <w:pPr>
        <w:pStyle w:val="5"/>
        <w:keepNext/>
        <w:keepLines/>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rPr>
          <w:rFonts w:hint="eastAsia"/>
          <w:highlight w:val="none"/>
        </w:rPr>
      </w:pPr>
      <w:r>
        <w:rPr>
          <w:rFonts w:hint="eastAsia"/>
          <w:highlight w:val="none"/>
        </w:rPr>
        <w:t>第三章</w:t>
      </w:r>
      <w:r>
        <w:rPr>
          <w:rFonts w:hint="eastAsia"/>
          <w:highlight w:val="none"/>
          <w:lang w:val="en-US" w:eastAsia="zh-CN"/>
        </w:rPr>
        <w:t xml:space="preserve">  </w:t>
      </w:r>
      <w:bookmarkStart w:id="13" w:name="OLE_LINK17"/>
      <w:r>
        <w:rPr>
          <w:rFonts w:hint="eastAsia"/>
          <w:highlight w:val="none"/>
        </w:rPr>
        <w:t>征收缴库</w:t>
      </w:r>
      <w:bookmarkEnd w:id="13"/>
    </w:p>
    <w:p>
      <w:pPr>
        <w:pStyle w:val="6"/>
        <w:numPr>
          <w:ilvl w:val="0"/>
          <w:numId w:val="0"/>
        </w:numPr>
        <w:tabs>
          <w:tab w:val="clear" w:pos="420"/>
        </w:tabs>
        <w:bidi w:val="0"/>
        <w:ind w:left="0" w:leftChars="0" w:firstLine="562" w:firstLineChars="200"/>
        <w:rPr>
          <w:rFonts w:hint="eastAsia" w:ascii="Times New Roman" w:hAnsi="Times New Roman"/>
          <w:highlight w:val="none"/>
        </w:rPr>
      </w:pPr>
      <w:r>
        <w:rPr>
          <w:rFonts w:hint="eastAsia" w:ascii="Times New Roman" w:hAnsi="Times New Roman"/>
          <w:highlight w:val="none"/>
          <w:lang w:val="en-US" w:eastAsia="zh-CN"/>
        </w:rPr>
        <w:t xml:space="preserve">第八条  </w:t>
      </w:r>
      <w:bookmarkStart w:id="14" w:name="OLE_LINK18"/>
      <w:r>
        <w:rPr>
          <w:rFonts w:hint="eastAsia" w:ascii="Times New Roman" w:hAnsi="Times New Roman"/>
          <w:highlight w:val="none"/>
        </w:rPr>
        <w:t>征收主体与客体</w:t>
      </w:r>
    </w:p>
    <w:bookmarkEnd w:id="14"/>
    <w:p>
      <w:pPr>
        <w:ind w:firstLine="640"/>
        <w:rPr>
          <w:highlight w:val="none"/>
        </w:rPr>
      </w:pPr>
      <w:r>
        <w:rPr>
          <w:rFonts w:hint="eastAsia"/>
          <w:highlight w:val="none"/>
        </w:rPr>
        <w:t>调节金由区</w:t>
      </w:r>
      <w:r>
        <w:rPr>
          <w:rFonts w:hint="eastAsia"/>
          <w:highlight w:val="none"/>
          <w:lang w:val="en-US" w:eastAsia="zh-CN"/>
        </w:rPr>
        <w:t>财政局</w:t>
      </w:r>
      <w:r>
        <w:rPr>
          <w:rFonts w:hint="eastAsia"/>
          <w:highlight w:val="none"/>
        </w:rPr>
        <w:t>会同</w:t>
      </w:r>
      <w:r>
        <w:rPr>
          <w:rFonts w:hint="eastAsia"/>
          <w:highlight w:val="none"/>
          <w:lang w:val="en-US" w:eastAsia="zh-CN"/>
        </w:rPr>
        <w:t>区</w:t>
      </w:r>
      <w:r>
        <w:rPr>
          <w:rFonts w:hint="eastAsia"/>
          <w:highlight w:val="none"/>
        </w:rPr>
        <w:t>自然资源</w:t>
      </w:r>
      <w:r>
        <w:rPr>
          <w:rFonts w:hint="eastAsia"/>
          <w:highlight w:val="none"/>
          <w:lang w:val="en-US" w:eastAsia="zh-CN"/>
        </w:rPr>
        <w:t>分局</w:t>
      </w:r>
      <w:r>
        <w:rPr>
          <w:rFonts w:hint="eastAsia"/>
          <w:highlight w:val="none"/>
        </w:rPr>
        <w:t>负责组织征收。</w:t>
      </w:r>
    </w:p>
    <w:p>
      <w:pPr>
        <w:ind w:firstLine="640"/>
        <w:rPr>
          <w:highlight w:val="none"/>
        </w:rPr>
      </w:pPr>
      <w:r>
        <w:rPr>
          <w:rFonts w:hint="eastAsia"/>
          <w:highlight w:val="none"/>
        </w:rPr>
        <w:t>调节金原则上由集体经营性建设用地的出让方、出租方、作价出资（入市）方及再转让方缴纳。</w:t>
      </w:r>
    </w:p>
    <w:p>
      <w:pPr>
        <w:pStyle w:val="6"/>
        <w:numPr>
          <w:ilvl w:val="0"/>
          <w:numId w:val="0"/>
        </w:numPr>
        <w:tabs>
          <w:tab w:val="clear" w:pos="420"/>
        </w:tabs>
        <w:bidi w:val="0"/>
        <w:ind w:left="0" w:leftChars="0" w:firstLine="562" w:firstLineChars="200"/>
        <w:rPr>
          <w:rFonts w:hint="eastAsia" w:ascii="Times New Roman" w:hAnsi="Times New Roman"/>
          <w:highlight w:val="none"/>
        </w:rPr>
      </w:pPr>
      <w:r>
        <w:rPr>
          <w:rFonts w:hint="eastAsia" w:ascii="Times New Roman" w:hAnsi="Times New Roman"/>
          <w:highlight w:val="none"/>
          <w:lang w:val="en-US" w:eastAsia="zh-CN"/>
        </w:rPr>
        <w:t xml:space="preserve">第九条  </w:t>
      </w:r>
      <w:r>
        <w:rPr>
          <w:rFonts w:hint="eastAsia" w:ascii="Times New Roman" w:hAnsi="Times New Roman"/>
          <w:highlight w:val="none"/>
        </w:rPr>
        <w:t>专户代缴</w:t>
      </w:r>
    </w:p>
    <w:p>
      <w:pPr>
        <w:bidi w:val="0"/>
        <w:rPr>
          <w:rFonts w:hint="default"/>
          <w:highlight w:val="none"/>
          <w:lang w:val="en-US" w:eastAsia="zh-CN"/>
        </w:rPr>
      </w:pPr>
      <w:r>
        <w:rPr>
          <w:rFonts w:hint="eastAsia"/>
          <w:highlight w:val="none"/>
        </w:rPr>
        <w:t>区</w:t>
      </w:r>
      <w:r>
        <w:rPr>
          <w:rFonts w:hint="eastAsia"/>
          <w:highlight w:val="none"/>
          <w:lang w:val="en-US" w:eastAsia="zh-CN"/>
        </w:rPr>
        <w:t>财政局</w:t>
      </w:r>
      <w:r>
        <w:rPr>
          <w:rFonts w:hint="eastAsia"/>
          <w:highlight w:val="none"/>
        </w:rPr>
        <w:t>设立集体经营性建设用地入市</w:t>
      </w:r>
      <w:r>
        <w:rPr>
          <w:rFonts w:hint="eastAsia"/>
          <w:highlight w:val="none"/>
          <w:lang w:val="en-US" w:eastAsia="zh-CN"/>
        </w:rPr>
        <w:t>资金财政监管账户</w:t>
      </w:r>
      <w:r>
        <w:rPr>
          <w:rFonts w:hint="eastAsia"/>
          <w:highlight w:val="none"/>
        </w:rPr>
        <w:t>，对集体经营性建设用地入市和再转让环节的土地增值收益调节金进行征收清算</w:t>
      </w:r>
      <w:r>
        <w:rPr>
          <w:rFonts w:hint="eastAsia"/>
          <w:highlight w:val="none"/>
          <w:lang w:eastAsia="zh-CN"/>
        </w:rPr>
        <w:t>，</w:t>
      </w:r>
      <w:r>
        <w:rPr>
          <w:rFonts w:hint="eastAsia"/>
          <w:highlight w:val="none"/>
          <w:lang w:val="en-US" w:eastAsia="zh-CN"/>
        </w:rPr>
        <w:t>集体经营性建设用地入市交易所涉资金均需通过财政监管账户管理。</w:t>
      </w:r>
    </w:p>
    <w:p>
      <w:pPr>
        <w:pStyle w:val="6"/>
        <w:numPr>
          <w:ilvl w:val="0"/>
          <w:numId w:val="0"/>
        </w:numPr>
        <w:tabs>
          <w:tab w:val="clear" w:pos="420"/>
        </w:tabs>
        <w:bidi w:val="0"/>
        <w:ind w:left="0" w:leftChars="0" w:firstLine="562" w:firstLineChars="200"/>
        <w:rPr>
          <w:rFonts w:hint="default" w:ascii="Times New Roman" w:hAnsi="Times New Roman"/>
          <w:highlight w:val="none"/>
          <w:lang w:val="en-US" w:eastAsia="zh-CN"/>
        </w:rPr>
      </w:pPr>
      <w:r>
        <w:rPr>
          <w:rFonts w:hint="eastAsia" w:ascii="Times New Roman" w:hAnsi="Times New Roman"/>
          <w:highlight w:val="none"/>
          <w:lang w:val="en-US" w:eastAsia="zh-CN"/>
        </w:rPr>
        <w:t xml:space="preserve">第十条  </w:t>
      </w:r>
      <w:bookmarkStart w:id="15" w:name="OLE_LINK19"/>
      <w:r>
        <w:rPr>
          <w:rFonts w:hint="eastAsia" w:ascii="Times New Roman" w:hAnsi="Times New Roman"/>
          <w:highlight w:val="none"/>
          <w:lang w:val="en-US" w:eastAsia="zh-CN"/>
        </w:rPr>
        <w:t>房地分离</w:t>
      </w:r>
      <w:bookmarkEnd w:id="15"/>
    </w:p>
    <w:p>
      <w:pPr>
        <w:bidi w:val="0"/>
        <w:rPr>
          <w:rFonts w:hint="eastAsia"/>
          <w:highlight w:val="none"/>
          <w:lang w:val="en-US" w:eastAsia="zh-CN"/>
        </w:rPr>
      </w:pPr>
      <w:r>
        <w:rPr>
          <w:rFonts w:hint="eastAsia"/>
          <w:highlight w:val="none"/>
        </w:rPr>
        <w:t>集体经营性建设用地</w:t>
      </w:r>
      <w:r>
        <w:rPr>
          <w:rFonts w:hint="eastAsia"/>
          <w:highlight w:val="none"/>
          <w:lang w:val="en-US" w:eastAsia="zh-CN"/>
        </w:rPr>
        <w:t>与地上权属清晰、产权合法的地上</w:t>
      </w:r>
      <w:r>
        <w:rPr>
          <w:rFonts w:hint="eastAsia"/>
          <w:highlight w:val="none"/>
          <w:lang w:eastAsia="zh-CN"/>
        </w:rPr>
        <w:t>建筑物及其附着物</w:t>
      </w:r>
      <w:r>
        <w:rPr>
          <w:rFonts w:hint="eastAsia"/>
          <w:highlight w:val="none"/>
          <w:lang w:val="en-US" w:eastAsia="zh-CN"/>
        </w:rPr>
        <w:t>的一并入市的，可采用房地分离的方式计算土地增值收益，只征收土地成交总价款部分的土地增值收益调节金。</w:t>
      </w:r>
    </w:p>
    <w:p>
      <w:pPr>
        <w:pStyle w:val="6"/>
        <w:numPr>
          <w:ilvl w:val="0"/>
          <w:numId w:val="0"/>
        </w:numPr>
        <w:tabs>
          <w:tab w:val="clear" w:pos="420"/>
        </w:tabs>
        <w:bidi w:val="0"/>
        <w:ind w:left="0" w:leftChars="0" w:firstLine="562" w:firstLineChars="200"/>
        <w:rPr>
          <w:rFonts w:hint="default" w:ascii="Times New Roman" w:hAnsi="Times New Roman"/>
          <w:highlight w:val="none"/>
          <w:lang w:val="en-US" w:eastAsia="zh-CN"/>
        </w:rPr>
      </w:pPr>
      <w:r>
        <w:rPr>
          <w:rFonts w:hint="eastAsia" w:ascii="Times New Roman" w:hAnsi="Times New Roman"/>
          <w:highlight w:val="none"/>
        </w:rPr>
        <w:t>第十一条</w:t>
      </w:r>
      <w:r>
        <w:rPr>
          <w:rFonts w:hint="eastAsia" w:ascii="Times New Roman" w:hAnsi="Times New Roman"/>
          <w:highlight w:val="none"/>
          <w:lang w:val="en-US" w:eastAsia="zh-CN"/>
        </w:rPr>
        <w:t xml:space="preserve">  预防低价</w:t>
      </w:r>
    </w:p>
    <w:p>
      <w:pPr>
        <w:bidi w:val="0"/>
        <w:rPr>
          <w:rFonts w:hint="eastAsia"/>
          <w:highlight w:val="none"/>
        </w:rPr>
      </w:pPr>
      <w:r>
        <w:rPr>
          <w:rFonts w:hint="eastAsia"/>
          <w:highlight w:val="none"/>
        </w:rPr>
        <w:t>集体经营性建设用地入市、再转让价格低于集体建设用地基准地价80%的，</w:t>
      </w:r>
      <w:r>
        <w:rPr>
          <w:rFonts w:hint="eastAsia"/>
          <w:highlight w:val="none"/>
          <w:lang w:val="en-US" w:eastAsia="zh-CN"/>
        </w:rPr>
        <w:t>区人民</w:t>
      </w:r>
      <w:r>
        <w:rPr>
          <w:rFonts w:hint="eastAsia"/>
          <w:highlight w:val="none"/>
        </w:rPr>
        <w:t>政府有优先购买权。</w:t>
      </w:r>
    </w:p>
    <w:p>
      <w:pPr>
        <w:pStyle w:val="6"/>
        <w:numPr>
          <w:ilvl w:val="0"/>
          <w:numId w:val="0"/>
        </w:numPr>
        <w:tabs>
          <w:tab w:val="clear" w:pos="420"/>
        </w:tabs>
        <w:bidi w:val="0"/>
        <w:ind w:left="0" w:leftChars="0" w:firstLine="562" w:firstLineChars="200"/>
        <w:rPr>
          <w:rFonts w:hint="eastAsia" w:ascii="Times New Roman" w:hAnsi="Times New Roman"/>
          <w:highlight w:val="none"/>
          <w:lang w:val="en-US" w:eastAsia="zh-CN"/>
        </w:rPr>
      </w:pPr>
      <w:r>
        <w:rPr>
          <w:rFonts w:hint="eastAsia" w:ascii="Times New Roman" w:hAnsi="Times New Roman"/>
          <w:highlight w:val="none"/>
        </w:rPr>
        <w:t>第十</w:t>
      </w:r>
      <w:r>
        <w:rPr>
          <w:rFonts w:hint="eastAsia" w:ascii="Times New Roman" w:hAnsi="Times New Roman"/>
          <w:highlight w:val="none"/>
          <w:lang w:val="en-US" w:eastAsia="zh-CN"/>
        </w:rPr>
        <w:t>二</w:t>
      </w:r>
      <w:r>
        <w:rPr>
          <w:rFonts w:hint="eastAsia" w:ascii="Times New Roman" w:hAnsi="Times New Roman"/>
          <w:highlight w:val="none"/>
        </w:rPr>
        <w:t>条</w:t>
      </w:r>
      <w:r>
        <w:rPr>
          <w:rFonts w:hint="eastAsia" w:ascii="Times New Roman" w:hAnsi="Times New Roman"/>
          <w:highlight w:val="none"/>
          <w:lang w:val="en-US" w:eastAsia="zh-CN"/>
        </w:rPr>
        <w:t xml:space="preserve">  </w:t>
      </w:r>
      <w:bookmarkStart w:id="16" w:name="OLE_LINK20"/>
      <w:r>
        <w:rPr>
          <w:rFonts w:hint="eastAsia" w:ascii="Times New Roman" w:hAnsi="Times New Roman"/>
          <w:highlight w:val="none"/>
          <w:lang w:val="en-US" w:eastAsia="zh-CN"/>
        </w:rPr>
        <w:t>调节金缴纳流程</w:t>
      </w:r>
      <w:bookmarkEnd w:id="16"/>
    </w:p>
    <w:p>
      <w:pPr>
        <w:bidi w:val="0"/>
        <w:rPr>
          <w:rFonts w:hint="eastAsia"/>
          <w:highlight w:val="none"/>
          <w:lang w:val="en-US" w:eastAsia="zh-CN"/>
        </w:rPr>
      </w:pPr>
      <w:r>
        <w:rPr>
          <w:rFonts w:hint="eastAsia"/>
          <w:highlight w:val="none"/>
          <w:lang w:val="en-US" w:eastAsia="zh-CN"/>
        </w:rPr>
        <w:t>区自然资源分局根据合同和交易信息，核定调节金应缴金额，开具缴款通知书。缴款通知书应载明成交土地地块、面积、交易方式、成交总价款、调节金金额、缴纳义务人和缴纳期限等。</w:t>
      </w:r>
    </w:p>
    <w:p>
      <w:pPr>
        <w:bidi w:val="0"/>
        <w:rPr>
          <w:rFonts w:hint="eastAsia" w:eastAsia="仿宋_GB2312"/>
          <w:highlight w:val="none"/>
          <w:lang w:val="en-US" w:eastAsia="zh-CN"/>
        </w:rPr>
      </w:pPr>
      <w:r>
        <w:rPr>
          <w:rFonts w:hint="eastAsia"/>
          <w:highlight w:val="none"/>
          <w:lang w:val="en-US" w:eastAsia="zh-CN"/>
        </w:rPr>
        <w:t>区财政局根据缴款通知书要求，从财政监管账户中划拨调节金，并</w:t>
      </w:r>
      <w:r>
        <w:rPr>
          <w:rFonts w:hint="eastAsia"/>
          <w:highlight w:val="none"/>
        </w:rPr>
        <w:t>开具缴纳凭证。</w:t>
      </w:r>
      <w:r>
        <w:rPr>
          <w:rFonts w:hint="eastAsia"/>
          <w:highlight w:val="none"/>
          <w:lang w:val="en-US" w:eastAsia="zh-CN"/>
        </w:rPr>
        <w:t>完成调节金征收后的入市价款作为集体经营性建设用地使用权出让人的入市收益。</w:t>
      </w:r>
    </w:p>
    <w:p>
      <w:pPr>
        <w:bidi w:val="0"/>
        <w:rPr>
          <w:rFonts w:hint="eastAsia"/>
          <w:highlight w:val="none"/>
          <w:lang w:val="en-US" w:eastAsia="zh-CN"/>
        </w:rPr>
      </w:pPr>
      <w:r>
        <w:rPr>
          <w:rFonts w:hint="eastAsia"/>
          <w:highlight w:val="none"/>
          <w:lang w:val="en-US" w:eastAsia="zh-CN"/>
        </w:rPr>
        <w:t>区自然资源分局、区财政局应定期公示集体经营性建设用地入市成交及调节金缴纳情况。</w:t>
      </w:r>
    </w:p>
    <w:p>
      <w:pPr>
        <w:pStyle w:val="6"/>
        <w:numPr>
          <w:ilvl w:val="0"/>
          <w:numId w:val="0"/>
        </w:numPr>
        <w:tabs>
          <w:tab w:val="clear" w:pos="420"/>
        </w:tabs>
        <w:bidi w:val="0"/>
        <w:ind w:left="0" w:leftChars="0" w:firstLine="562" w:firstLineChars="200"/>
        <w:rPr>
          <w:rFonts w:hint="default" w:ascii="Times New Roman" w:hAnsi="Times New Roman"/>
          <w:highlight w:val="none"/>
          <w:lang w:val="en-US" w:eastAsia="zh-CN"/>
        </w:rPr>
      </w:pPr>
      <w:r>
        <w:rPr>
          <w:rFonts w:hint="eastAsia" w:ascii="Times New Roman" w:hAnsi="Times New Roman"/>
          <w:highlight w:val="none"/>
          <w:lang w:val="en-US" w:eastAsia="zh-CN"/>
        </w:rPr>
        <w:t>第十</w:t>
      </w:r>
      <w:r>
        <w:rPr>
          <w:rFonts w:hint="eastAsia"/>
          <w:highlight w:val="none"/>
          <w:lang w:val="en-US" w:eastAsia="zh-CN"/>
        </w:rPr>
        <w:t>三</w:t>
      </w:r>
      <w:r>
        <w:rPr>
          <w:rFonts w:hint="eastAsia" w:ascii="Times New Roman" w:hAnsi="Times New Roman"/>
          <w:highlight w:val="none"/>
          <w:lang w:val="en-US" w:eastAsia="zh-CN"/>
        </w:rPr>
        <w:t xml:space="preserve">条 </w:t>
      </w:r>
      <w:r>
        <w:rPr>
          <w:rFonts w:hint="eastAsia"/>
          <w:highlight w:val="none"/>
          <w:lang w:val="en-US" w:eastAsia="zh-CN"/>
        </w:rPr>
        <w:t xml:space="preserve"> </w:t>
      </w:r>
      <w:bookmarkStart w:id="17" w:name="OLE_LINK21"/>
      <w:r>
        <w:rPr>
          <w:rFonts w:hint="eastAsia" w:ascii="Times New Roman" w:hAnsi="Times New Roman"/>
          <w:highlight w:val="none"/>
          <w:lang w:val="en-US" w:eastAsia="zh-CN"/>
        </w:rPr>
        <w:t>不动产登记</w:t>
      </w:r>
      <w:bookmarkEnd w:id="17"/>
    </w:p>
    <w:p>
      <w:pPr>
        <w:bidi w:val="0"/>
        <w:rPr>
          <w:rFonts w:hint="eastAsia"/>
          <w:highlight w:val="none"/>
          <w:lang w:val="en-US"/>
        </w:rPr>
      </w:pPr>
      <w:r>
        <w:rPr>
          <w:highlight w:val="none"/>
          <w:lang w:eastAsia="zh-CN"/>
        </w:rPr>
        <w:t>集体经营性建设用地使用权交易双方按合同支付价款及税费、调节金后，持</w:t>
      </w:r>
      <w:r>
        <w:rPr>
          <w:rFonts w:hint="eastAsia"/>
          <w:highlight w:val="none"/>
          <w:lang w:val="en-US" w:eastAsia="zh-CN"/>
        </w:rPr>
        <w:t>相关凭证</w:t>
      </w:r>
      <w:r>
        <w:rPr>
          <w:highlight w:val="none"/>
          <w:lang w:eastAsia="zh-CN"/>
        </w:rPr>
        <w:t>由</w:t>
      </w:r>
      <w:r>
        <w:rPr>
          <w:rFonts w:hint="eastAsia"/>
          <w:highlight w:val="none"/>
          <w:lang w:val="en-US" w:eastAsia="zh-CN"/>
        </w:rPr>
        <w:t>区</w:t>
      </w:r>
      <w:r>
        <w:rPr>
          <w:highlight w:val="none"/>
          <w:lang w:eastAsia="zh-CN"/>
        </w:rPr>
        <w:t>自然资源</w:t>
      </w:r>
      <w:r>
        <w:rPr>
          <w:rFonts w:hint="eastAsia"/>
          <w:highlight w:val="none"/>
          <w:lang w:val="en-US" w:eastAsia="zh-CN"/>
        </w:rPr>
        <w:t>分局</w:t>
      </w:r>
      <w:r>
        <w:rPr>
          <w:highlight w:val="none"/>
          <w:lang w:eastAsia="zh-CN"/>
        </w:rPr>
        <w:t>确认后按规定办理不动产登记手续。</w:t>
      </w:r>
    </w:p>
    <w:p>
      <w:pPr>
        <w:ind w:firstLine="560" w:firstLineChars="200"/>
        <w:rPr>
          <w:rFonts w:hint="eastAsia" w:ascii="楷体" w:hAnsi="楷体" w:eastAsia="楷体" w:cs="黑体"/>
          <w:sz w:val="24"/>
          <w:szCs w:val="28"/>
          <w:highlight w:val="none"/>
          <w:lang w:val="en-US" w:eastAsia="zh-CN"/>
        </w:rPr>
      </w:pPr>
      <w:r>
        <w:rPr>
          <w:highlight w:val="none"/>
          <w:lang w:eastAsia="zh-CN"/>
        </w:rPr>
        <w:t>调节金缴纳凭证是集体经营性建设用地入市</w:t>
      </w:r>
      <w:r>
        <w:rPr>
          <w:rFonts w:hint="eastAsia"/>
          <w:highlight w:val="none"/>
          <w:lang w:val="en-US" w:eastAsia="zh-CN"/>
        </w:rPr>
        <w:t>和</w:t>
      </w:r>
      <w:r>
        <w:rPr>
          <w:highlight w:val="none"/>
          <w:lang w:eastAsia="zh-CN"/>
        </w:rPr>
        <w:t>再转让办理不动产登记手续的要件。</w:t>
      </w:r>
    </w:p>
    <w:p>
      <w:pPr>
        <w:pStyle w:val="6"/>
        <w:numPr>
          <w:ilvl w:val="0"/>
          <w:numId w:val="0"/>
        </w:numPr>
        <w:tabs>
          <w:tab w:val="clear" w:pos="420"/>
        </w:tabs>
        <w:bidi w:val="0"/>
        <w:ind w:left="0" w:leftChars="0" w:firstLine="562" w:firstLineChars="200"/>
        <w:rPr>
          <w:rFonts w:hint="default" w:ascii="Times New Roman" w:hAnsi="Times New Roman"/>
          <w:highlight w:val="none"/>
          <w:lang w:val="en-US" w:eastAsia="zh-CN"/>
        </w:rPr>
      </w:pPr>
      <w:r>
        <w:rPr>
          <w:rFonts w:hint="eastAsia" w:ascii="Times New Roman" w:hAnsi="Times New Roman"/>
          <w:highlight w:val="none"/>
          <w:lang w:val="en-US" w:eastAsia="zh-CN"/>
        </w:rPr>
        <w:t>第十</w:t>
      </w:r>
      <w:r>
        <w:rPr>
          <w:rFonts w:hint="eastAsia"/>
          <w:highlight w:val="none"/>
          <w:lang w:val="en-US" w:eastAsia="zh-CN"/>
        </w:rPr>
        <w:t>四</w:t>
      </w:r>
      <w:r>
        <w:rPr>
          <w:rFonts w:hint="eastAsia" w:ascii="Times New Roman" w:hAnsi="Times New Roman"/>
          <w:highlight w:val="none"/>
          <w:lang w:val="en-US" w:eastAsia="zh-CN"/>
        </w:rPr>
        <w:t xml:space="preserve">条  </w:t>
      </w:r>
      <w:bookmarkStart w:id="18" w:name="OLE_LINK22"/>
      <w:r>
        <w:rPr>
          <w:rFonts w:hint="eastAsia" w:ascii="Times New Roman" w:hAnsi="Times New Roman"/>
          <w:highlight w:val="none"/>
          <w:lang w:val="en-US" w:eastAsia="zh-CN"/>
        </w:rPr>
        <w:t>缴交义务</w:t>
      </w:r>
      <w:bookmarkEnd w:id="18"/>
    </w:p>
    <w:p>
      <w:pPr>
        <w:bidi w:val="0"/>
        <w:rPr>
          <w:rFonts w:hint="eastAsia"/>
          <w:highlight w:val="none"/>
        </w:rPr>
      </w:pPr>
      <w:r>
        <w:rPr>
          <w:rFonts w:hint="eastAsia"/>
          <w:highlight w:val="none"/>
        </w:rPr>
        <w:t>调节金缴纳义务人应按合同约定及相关政策规定及时足额缴纳调节金。对未按规定缴纳调节金的，</w:t>
      </w:r>
      <w:r>
        <w:rPr>
          <w:rFonts w:hint="eastAsia"/>
          <w:highlight w:val="none"/>
          <w:lang w:val="en-US" w:eastAsia="zh-CN"/>
        </w:rPr>
        <w:t>区</w:t>
      </w:r>
      <w:r>
        <w:rPr>
          <w:rFonts w:hint="eastAsia"/>
          <w:highlight w:val="none"/>
        </w:rPr>
        <w:t>财政局、</w:t>
      </w:r>
      <w:r>
        <w:rPr>
          <w:rFonts w:hint="eastAsia"/>
          <w:highlight w:val="none"/>
          <w:lang w:val="en-US" w:eastAsia="zh-CN"/>
        </w:rPr>
        <w:t>区自然资源分局</w:t>
      </w:r>
      <w:r>
        <w:rPr>
          <w:rFonts w:hint="eastAsia"/>
          <w:highlight w:val="none"/>
        </w:rPr>
        <w:t>有权采取措施督促其缴纳。</w:t>
      </w:r>
    </w:p>
    <w:p>
      <w:pPr>
        <w:pStyle w:val="5"/>
        <w:keepNext/>
        <w:keepLines/>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rPr>
          <w:rFonts w:hint="eastAsia"/>
          <w:highlight w:val="none"/>
        </w:rPr>
      </w:pPr>
      <w:r>
        <w:rPr>
          <w:rFonts w:hint="eastAsia"/>
          <w:highlight w:val="none"/>
        </w:rPr>
        <w:t>第四章</w:t>
      </w:r>
      <w:r>
        <w:rPr>
          <w:rFonts w:hint="eastAsia"/>
          <w:highlight w:val="none"/>
          <w:lang w:val="en-US" w:eastAsia="zh-CN"/>
        </w:rPr>
        <w:t xml:space="preserve">  </w:t>
      </w:r>
      <w:bookmarkStart w:id="19" w:name="OLE_LINK23"/>
      <w:r>
        <w:rPr>
          <w:rFonts w:hint="eastAsia"/>
          <w:highlight w:val="none"/>
        </w:rPr>
        <w:t>使用管理</w:t>
      </w:r>
      <w:bookmarkEnd w:id="19"/>
    </w:p>
    <w:p>
      <w:pPr>
        <w:pStyle w:val="6"/>
        <w:numPr>
          <w:ilvl w:val="0"/>
          <w:numId w:val="0"/>
        </w:numPr>
        <w:tabs>
          <w:tab w:val="clear" w:pos="420"/>
        </w:tabs>
        <w:bidi w:val="0"/>
        <w:ind w:left="0" w:leftChars="0" w:firstLine="562" w:firstLineChars="200"/>
        <w:rPr>
          <w:rFonts w:hint="default" w:ascii="Times New Roman" w:hAnsi="Times New Roman"/>
          <w:highlight w:val="none"/>
          <w:lang w:val="en-US" w:eastAsia="zh-CN"/>
        </w:rPr>
      </w:pPr>
      <w:r>
        <w:rPr>
          <w:rFonts w:hint="eastAsia" w:ascii="Times New Roman" w:hAnsi="Times New Roman"/>
          <w:highlight w:val="none"/>
          <w:lang w:val="en-US" w:eastAsia="zh-CN"/>
        </w:rPr>
        <w:t>第十</w:t>
      </w:r>
      <w:r>
        <w:rPr>
          <w:rFonts w:hint="eastAsia"/>
          <w:highlight w:val="none"/>
          <w:lang w:val="en-US" w:eastAsia="zh-CN"/>
        </w:rPr>
        <w:t>五</w:t>
      </w:r>
      <w:r>
        <w:rPr>
          <w:rFonts w:hint="eastAsia" w:ascii="Times New Roman" w:hAnsi="Times New Roman"/>
          <w:highlight w:val="none"/>
          <w:lang w:val="en-US" w:eastAsia="zh-CN"/>
        </w:rPr>
        <w:t>条  资金管理</w:t>
      </w:r>
    </w:p>
    <w:p>
      <w:pPr>
        <w:bidi w:val="0"/>
        <w:rPr>
          <w:rFonts w:hint="eastAsia"/>
          <w:highlight w:val="none"/>
        </w:rPr>
      </w:pPr>
      <w:r>
        <w:rPr>
          <w:rFonts w:hint="eastAsia"/>
          <w:highlight w:val="none"/>
        </w:rPr>
        <w:t>调节金纳入地方一般公共预算管理，</w:t>
      </w:r>
      <w:r>
        <w:rPr>
          <w:rFonts w:hint="eastAsia" w:ascii="Times New Roman" w:hAnsi="Times New Roman" w:eastAsia="仿宋_GB2312" w:cstheme="minorBidi"/>
          <w:kern w:val="2"/>
          <w:sz w:val="28"/>
          <w:szCs w:val="22"/>
          <w:highlight w:val="none"/>
          <w:lang w:val="en-US" w:eastAsia="zh-CN" w:bidi="ar-SA"/>
        </w:rPr>
        <w:t>由</w:t>
      </w:r>
      <w:r>
        <w:rPr>
          <w:rFonts w:hint="eastAsia" w:cstheme="minorBidi"/>
          <w:kern w:val="2"/>
          <w:sz w:val="28"/>
          <w:szCs w:val="22"/>
          <w:highlight w:val="none"/>
          <w:lang w:val="en-US" w:eastAsia="zh-CN" w:bidi="ar-SA"/>
        </w:rPr>
        <w:t>区</w:t>
      </w:r>
      <w:r>
        <w:rPr>
          <w:rFonts w:hint="eastAsia" w:ascii="Times New Roman" w:hAnsi="Times New Roman" w:eastAsia="仿宋_GB2312" w:cstheme="minorBidi"/>
          <w:kern w:val="2"/>
          <w:sz w:val="28"/>
          <w:szCs w:val="22"/>
          <w:highlight w:val="none"/>
          <w:lang w:val="en-US" w:eastAsia="zh-CN" w:bidi="ar-SA"/>
        </w:rPr>
        <w:t>财政部门统筹安排使用。资金支付按照国库集中支付制度有关规定执行。</w:t>
      </w:r>
    </w:p>
    <w:p>
      <w:pPr>
        <w:pStyle w:val="6"/>
        <w:numPr>
          <w:ilvl w:val="0"/>
          <w:numId w:val="0"/>
        </w:numPr>
        <w:tabs>
          <w:tab w:val="clear" w:pos="420"/>
        </w:tabs>
        <w:bidi w:val="0"/>
        <w:ind w:left="0" w:leftChars="0" w:firstLine="562" w:firstLineChars="200"/>
        <w:rPr>
          <w:rFonts w:hint="default" w:ascii="Times New Roman" w:hAnsi="Times New Roman"/>
          <w:highlight w:val="none"/>
          <w:lang w:val="en-US" w:eastAsia="zh-CN"/>
        </w:rPr>
      </w:pPr>
      <w:r>
        <w:rPr>
          <w:rFonts w:hint="eastAsia" w:ascii="Times New Roman" w:hAnsi="Times New Roman"/>
          <w:highlight w:val="none"/>
          <w:lang w:val="en-US" w:eastAsia="zh-CN"/>
        </w:rPr>
        <w:t>第十</w:t>
      </w:r>
      <w:r>
        <w:rPr>
          <w:rFonts w:hint="eastAsia"/>
          <w:highlight w:val="none"/>
          <w:lang w:val="en-US" w:eastAsia="zh-CN"/>
        </w:rPr>
        <w:t>六</w:t>
      </w:r>
      <w:r>
        <w:rPr>
          <w:rFonts w:hint="eastAsia" w:ascii="Times New Roman" w:hAnsi="Times New Roman"/>
          <w:highlight w:val="none"/>
          <w:lang w:val="en-US" w:eastAsia="zh-CN"/>
        </w:rPr>
        <w:t xml:space="preserve">条  </w:t>
      </w:r>
      <w:bookmarkStart w:id="20" w:name="OLE_LINK24"/>
      <w:r>
        <w:rPr>
          <w:rFonts w:hint="eastAsia" w:ascii="Times New Roman" w:hAnsi="Times New Roman"/>
          <w:highlight w:val="none"/>
          <w:lang w:val="en-US" w:eastAsia="zh-CN"/>
        </w:rPr>
        <w:t>资金监管</w:t>
      </w:r>
      <w:bookmarkEnd w:id="20"/>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0" w:right="0" w:firstLine="420"/>
        <w:jc w:val="both"/>
        <w:rPr>
          <w:rFonts w:hint="eastAsia" w:ascii="Times New Roman" w:hAnsi="Times New Roman" w:eastAsia="仿宋_GB2312" w:cstheme="minorBidi"/>
          <w:kern w:val="2"/>
          <w:sz w:val="28"/>
          <w:szCs w:val="22"/>
          <w:highlight w:val="none"/>
          <w:lang w:val="en-US" w:eastAsia="zh-CN" w:bidi="ar-SA"/>
        </w:rPr>
      </w:pPr>
      <w:r>
        <w:rPr>
          <w:rFonts w:hint="eastAsia" w:ascii="Times New Roman" w:hAnsi="Times New Roman" w:eastAsia="仿宋_GB2312" w:cstheme="minorBidi"/>
          <w:kern w:val="2"/>
          <w:sz w:val="28"/>
          <w:szCs w:val="22"/>
          <w:highlight w:val="none"/>
          <w:lang w:val="en-US" w:eastAsia="zh-CN" w:bidi="ar-SA"/>
        </w:rPr>
        <w:t>区财政局、区自然资源分局要加强调节金使用的监督管理，确保资金使用符合规定用途和预算管理要求。审计部门依法依规进行审计监督。</w:t>
      </w:r>
    </w:p>
    <w:p>
      <w:pPr>
        <w:pStyle w:val="6"/>
        <w:numPr>
          <w:ilvl w:val="0"/>
          <w:numId w:val="0"/>
        </w:numPr>
        <w:tabs>
          <w:tab w:val="clear" w:pos="420"/>
        </w:tabs>
        <w:bidi w:val="0"/>
        <w:ind w:left="0" w:leftChars="0" w:firstLine="562" w:firstLineChars="200"/>
        <w:rPr>
          <w:rFonts w:hint="default" w:ascii="Times New Roman" w:hAnsi="Times New Roman"/>
          <w:highlight w:val="none"/>
          <w:lang w:val="en-US" w:eastAsia="zh-CN"/>
        </w:rPr>
      </w:pPr>
      <w:r>
        <w:rPr>
          <w:rFonts w:hint="eastAsia" w:ascii="Times New Roman" w:hAnsi="Times New Roman"/>
          <w:highlight w:val="none"/>
          <w:lang w:val="en-US" w:eastAsia="zh-CN"/>
        </w:rPr>
        <w:t>第十</w:t>
      </w:r>
      <w:r>
        <w:rPr>
          <w:rFonts w:hint="eastAsia"/>
          <w:highlight w:val="none"/>
          <w:lang w:val="en-US" w:eastAsia="zh-CN"/>
        </w:rPr>
        <w:t>七</w:t>
      </w:r>
      <w:r>
        <w:rPr>
          <w:rFonts w:hint="eastAsia" w:ascii="Times New Roman" w:hAnsi="Times New Roman"/>
          <w:highlight w:val="none"/>
          <w:lang w:val="en-US" w:eastAsia="zh-CN"/>
        </w:rPr>
        <w:t xml:space="preserve">条  </w:t>
      </w:r>
      <w:bookmarkStart w:id="21" w:name="OLE_LINK25"/>
      <w:r>
        <w:rPr>
          <w:rFonts w:hint="eastAsia" w:ascii="Times New Roman" w:hAnsi="Times New Roman"/>
          <w:highlight w:val="none"/>
          <w:lang w:val="en-US" w:eastAsia="zh-CN"/>
        </w:rPr>
        <w:t>工作经费</w:t>
      </w:r>
      <w:bookmarkEnd w:id="21"/>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0" w:right="0" w:firstLine="420"/>
        <w:jc w:val="both"/>
        <w:rPr>
          <w:rFonts w:hint="eastAsia" w:ascii="Times New Roman" w:hAnsi="Times New Roman" w:eastAsia="仿宋_GB2312" w:cstheme="minorBidi"/>
          <w:kern w:val="2"/>
          <w:sz w:val="28"/>
          <w:szCs w:val="22"/>
          <w:highlight w:val="none"/>
          <w:lang w:val="en-US" w:eastAsia="zh-CN" w:bidi="ar-SA"/>
        </w:rPr>
      </w:pPr>
      <w:r>
        <w:rPr>
          <w:rFonts w:hint="eastAsia" w:ascii="Times New Roman" w:hAnsi="Times New Roman" w:eastAsia="仿宋_GB2312" w:cstheme="minorBidi"/>
          <w:kern w:val="2"/>
          <w:sz w:val="28"/>
          <w:szCs w:val="22"/>
          <w:highlight w:val="none"/>
          <w:lang w:val="en-US" w:eastAsia="zh-CN" w:bidi="ar-SA"/>
        </w:rPr>
        <w:t>调节金征收等深化集体经营性建设用地入市相关工作经费。列入区级财政预算。</w:t>
      </w:r>
    </w:p>
    <w:p>
      <w:pPr>
        <w:pStyle w:val="5"/>
        <w:keepNext/>
        <w:keepLines/>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rPr>
          <w:rFonts w:hint="eastAsia"/>
          <w:highlight w:val="none"/>
        </w:rPr>
      </w:pPr>
      <w:r>
        <w:rPr>
          <w:rFonts w:hint="eastAsia"/>
          <w:highlight w:val="none"/>
        </w:rPr>
        <w:t>第五章</w:t>
      </w:r>
      <w:r>
        <w:rPr>
          <w:rFonts w:hint="eastAsia"/>
          <w:highlight w:val="none"/>
          <w:lang w:val="en-US" w:eastAsia="zh-CN"/>
        </w:rPr>
        <w:t xml:space="preserve">  </w:t>
      </w:r>
      <w:bookmarkStart w:id="22" w:name="OLE_LINK26"/>
      <w:r>
        <w:rPr>
          <w:rFonts w:hint="eastAsia"/>
          <w:highlight w:val="none"/>
        </w:rPr>
        <w:t>法律责任</w:t>
      </w:r>
    </w:p>
    <w:bookmarkEnd w:id="22"/>
    <w:p>
      <w:pPr>
        <w:pStyle w:val="6"/>
        <w:numPr>
          <w:ilvl w:val="0"/>
          <w:numId w:val="0"/>
        </w:numPr>
        <w:tabs>
          <w:tab w:val="clear" w:pos="420"/>
        </w:tabs>
        <w:bidi w:val="0"/>
        <w:ind w:left="0" w:leftChars="0" w:firstLine="562" w:firstLineChars="200"/>
        <w:rPr>
          <w:rFonts w:hint="default" w:ascii="Times New Roman" w:hAnsi="Times New Roman"/>
          <w:highlight w:val="none"/>
          <w:lang w:val="en-US" w:eastAsia="zh-CN"/>
        </w:rPr>
      </w:pPr>
      <w:r>
        <w:rPr>
          <w:rFonts w:hint="eastAsia" w:ascii="Times New Roman" w:hAnsi="Times New Roman"/>
          <w:highlight w:val="none"/>
          <w:lang w:val="en-US" w:eastAsia="zh-CN"/>
        </w:rPr>
        <w:t>第</w:t>
      </w:r>
      <w:r>
        <w:rPr>
          <w:rFonts w:hint="eastAsia"/>
          <w:highlight w:val="none"/>
          <w:lang w:val="en-US" w:eastAsia="zh-CN"/>
        </w:rPr>
        <w:t>十八</w:t>
      </w:r>
      <w:r>
        <w:rPr>
          <w:rFonts w:hint="eastAsia" w:ascii="Times New Roman" w:hAnsi="Times New Roman"/>
          <w:highlight w:val="none"/>
          <w:lang w:val="en-US" w:eastAsia="zh-CN"/>
        </w:rPr>
        <w:t xml:space="preserve">条  </w:t>
      </w:r>
      <w:bookmarkStart w:id="23" w:name="OLE_LINK27"/>
      <w:r>
        <w:rPr>
          <w:rFonts w:hint="eastAsia" w:ascii="Times New Roman" w:hAnsi="Times New Roman"/>
          <w:highlight w:val="none"/>
          <w:lang w:val="en-US" w:eastAsia="zh-CN"/>
        </w:rPr>
        <w:t>违法处理</w:t>
      </w:r>
      <w:bookmarkEnd w:id="23"/>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0" w:right="0" w:firstLine="420"/>
        <w:jc w:val="both"/>
        <w:rPr>
          <w:rFonts w:hint="eastAsia" w:ascii="Times New Roman" w:hAnsi="Times New Roman" w:eastAsia="仿宋_GB2312" w:cstheme="minorBidi"/>
          <w:kern w:val="2"/>
          <w:sz w:val="28"/>
          <w:szCs w:val="22"/>
          <w:highlight w:val="none"/>
          <w:lang w:val="en-US" w:eastAsia="zh-CN" w:bidi="ar-SA"/>
        </w:rPr>
      </w:pPr>
      <w:r>
        <w:rPr>
          <w:rFonts w:hint="eastAsia" w:ascii="Times New Roman" w:hAnsi="Times New Roman" w:eastAsia="仿宋_GB2312" w:cstheme="minorBidi"/>
          <w:kern w:val="2"/>
          <w:sz w:val="28"/>
          <w:szCs w:val="22"/>
          <w:highlight w:val="none"/>
          <w:lang w:val="en-US" w:eastAsia="zh-CN" w:bidi="ar-SA"/>
        </w:rPr>
        <w:t>单位和个人违反本实施细则规定，有下列情形之一的，依照《财政违法行为处罚处分条例》和《违反行政事业性收费和罚没收入收支两条线管理规定行政处分暂行规定》等国家有关规定追究法律责任；涉嫌犯罪的，依法移送司法机关处理：</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0" w:right="0" w:firstLine="420"/>
        <w:jc w:val="both"/>
        <w:rPr>
          <w:rFonts w:hint="eastAsia" w:ascii="Times New Roman" w:hAnsi="Times New Roman" w:eastAsia="仿宋_GB2312" w:cstheme="minorBidi"/>
          <w:kern w:val="2"/>
          <w:sz w:val="28"/>
          <w:szCs w:val="22"/>
          <w:highlight w:val="none"/>
          <w:lang w:val="en-US" w:eastAsia="zh-CN" w:bidi="ar-SA"/>
        </w:rPr>
      </w:pPr>
      <w:r>
        <w:rPr>
          <w:rFonts w:hint="eastAsia" w:ascii="Times New Roman" w:hAnsi="Times New Roman" w:eastAsia="仿宋_GB2312" w:cstheme="minorBidi"/>
          <w:kern w:val="2"/>
          <w:sz w:val="28"/>
          <w:szCs w:val="22"/>
          <w:highlight w:val="none"/>
          <w:lang w:val="en-US" w:eastAsia="zh-CN" w:bidi="ar-SA"/>
        </w:rPr>
        <w:t>（一）擅自减免调节金或者改变调节金征收范围、对象和标准的；</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0" w:right="0" w:firstLine="420"/>
        <w:jc w:val="both"/>
        <w:rPr>
          <w:rFonts w:hint="eastAsia" w:ascii="Times New Roman" w:hAnsi="Times New Roman" w:eastAsia="仿宋_GB2312" w:cstheme="minorBidi"/>
          <w:kern w:val="2"/>
          <w:sz w:val="28"/>
          <w:szCs w:val="22"/>
          <w:highlight w:val="none"/>
          <w:lang w:val="en-US" w:eastAsia="zh-CN" w:bidi="ar-SA"/>
        </w:rPr>
      </w:pPr>
      <w:r>
        <w:rPr>
          <w:rFonts w:hint="eastAsia" w:ascii="Times New Roman" w:hAnsi="Times New Roman" w:eastAsia="仿宋_GB2312" w:cstheme="minorBidi"/>
          <w:kern w:val="2"/>
          <w:sz w:val="28"/>
          <w:szCs w:val="22"/>
          <w:highlight w:val="none"/>
          <w:lang w:val="en-US" w:eastAsia="zh-CN" w:bidi="ar-SA"/>
        </w:rPr>
        <w:t>（二）隐瞒、坐支应当上缴的调节金的；</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0" w:right="0" w:firstLine="420"/>
        <w:jc w:val="both"/>
        <w:rPr>
          <w:rFonts w:hint="eastAsia" w:ascii="Times New Roman" w:hAnsi="Times New Roman" w:eastAsia="仿宋_GB2312" w:cstheme="minorBidi"/>
          <w:kern w:val="2"/>
          <w:sz w:val="28"/>
          <w:szCs w:val="22"/>
          <w:highlight w:val="none"/>
          <w:lang w:val="en-US" w:eastAsia="zh-CN" w:bidi="ar-SA"/>
        </w:rPr>
      </w:pPr>
      <w:r>
        <w:rPr>
          <w:rFonts w:hint="eastAsia" w:ascii="Times New Roman" w:hAnsi="Times New Roman" w:eastAsia="仿宋_GB2312" w:cstheme="minorBidi"/>
          <w:kern w:val="2"/>
          <w:sz w:val="28"/>
          <w:szCs w:val="22"/>
          <w:highlight w:val="none"/>
          <w:lang w:val="en-US" w:eastAsia="zh-CN" w:bidi="ar-SA"/>
        </w:rPr>
        <w:t>（三）滞留、截留、挪用应当上缴的调节金的；</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0" w:right="0" w:firstLine="420"/>
        <w:jc w:val="both"/>
        <w:rPr>
          <w:rFonts w:hint="eastAsia" w:ascii="Times New Roman" w:hAnsi="Times New Roman" w:eastAsia="仿宋_GB2312" w:cstheme="minorBidi"/>
          <w:kern w:val="2"/>
          <w:sz w:val="28"/>
          <w:szCs w:val="22"/>
          <w:highlight w:val="none"/>
          <w:lang w:val="en-US" w:eastAsia="zh-CN" w:bidi="ar-SA"/>
        </w:rPr>
      </w:pPr>
      <w:r>
        <w:rPr>
          <w:rFonts w:hint="eastAsia" w:ascii="Times New Roman" w:hAnsi="Times New Roman" w:eastAsia="仿宋_GB2312" w:cstheme="minorBidi"/>
          <w:kern w:val="2"/>
          <w:sz w:val="28"/>
          <w:szCs w:val="22"/>
          <w:highlight w:val="none"/>
          <w:lang w:val="en-US" w:eastAsia="zh-CN" w:bidi="ar-SA"/>
        </w:rPr>
        <w:t>（四）不按规定的预算级次、预算科目将调节金缴入国库的；</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0" w:right="0" w:firstLine="420"/>
        <w:jc w:val="both"/>
        <w:rPr>
          <w:rFonts w:hint="eastAsia" w:ascii="Times New Roman" w:hAnsi="Times New Roman" w:eastAsia="仿宋_GB2312" w:cstheme="minorBidi"/>
          <w:kern w:val="2"/>
          <w:sz w:val="28"/>
          <w:szCs w:val="22"/>
          <w:highlight w:val="none"/>
          <w:lang w:val="en-US" w:eastAsia="zh-CN" w:bidi="ar-SA"/>
        </w:rPr>
      </w:pPr>
      <w:r>
        <w:rPr>
          <w:rFonts w:hint="eastAsia" w:ascii="Times New Roman" w:hAnsi="Times New Roman" w:eastAsia="仿宋_GB2312" w:cstheme="minorBidi"/>
          <w:kern w:val="2"/>
          <w:sz w:val="28"/>
          <w:szCs w:val="22"/>
          <w:highlight w:val="none"/>
          <w:lang w:val="en-US" w:eastAsia="zh-CN" w:bidi="ar-SA"/>
        </w:rPr>
        <w:t>（五）其他违反国家财政收入管理规定的行为。</w:t>
      </w:r>
    </w:p>
    <w:p>
      <w:pPr>
        <w:pStyle w:val="6"/>
        <w:numPr>
          <w:ilvl w:val="0"/>
          <w:numId w:val="0"/>
        </w:numPr>
        <w:tabs>
          <w:tab w:val="clear" w:pos="420"/>
        </w:tabs>
        <w:bidi w:val="0"/>
        <w:ind w:left="0" w:leftChars="0" w:firstLine="562" w:firstLineChars="200"/>
        <w:rPr>
          <w:rFonts w:hint="default" w:ascii="Times New Roman" w:hAnsi="Times New Roman"/>
          <w:highlight w:val="none"/>
          <w:lang w:val="en-US" w:eastAsia="zh-CN"/>
        </w:rPr>
      </w:pPr>
      <w:r>
        <w:rPr>
          <w:rFonts w:hint="eastAsia" w:ascii="Times New Roman" w:hAnsi="Times New Roman"/>
          <w:highlight w:val="none"/>
          <w:lang w:val="en-US" w:eastAsia="zh-CN"/>
        </w:rPr>
        <w:t>第</w:t>
      </w:r>
      <w:r>
        <w:rPr>
          <w:rFonts w:hint="eastAsia"/>
          <w:highlight w:val="none"/>
          <w:lang w:val="en-US" w:eastAsia="zh-CN"/>
        </w:rPr>
        <w:t>十九</w:t>
      </w:r>
      <w:r>
        <w:rPr>
          <w:rFonts w:hint="eastAsia" w:ascii="Times New Roman" w:hAnsi="Times New Roman"/>
          <w:highlight w:val="none"/>
          <w:lang w:val="en-US" w:eastAsia="zh-CN"/>
        </w:rPr>
        <w:t>条  违法责任</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 w:lineRule="atLeast"/>
        <w:ind w:left="0" w:right="0" w:firstLine="420"/>
        <w:jc w:val="both"/>
        <w:rPr>
          <w:rFonts w:hint="eastAsia" w:ascii="Times New Roman" w:hAnsi="Times New Roman" w:eastAsia="仿宋_GB2312" w:cstheme="minorBidi"/>
          <w:kern w:val="2"/>
          <w:sz w:val="28"/>
          <w:szCs w:val="22"/>
          <w:highlight w:val="none"/>
          <w:lang w:val="en-US" w:eastAsia="zh-CN" w:bidi="ar-SA"/>
        </w:rPr>
      </w:pPr>
      <w:r>
        <w:rPr>
          <w:rFonts w:hint="eastAsia" w:ascii="Times New Roman" w:hAnsi="Times New Roman" w:eastAsia="仿宋_GB2312" w:cstheme="minorBidi"/>
          <w:kern w:val="2"/>
          <w:sz w:val="28"/>
          <w:szCs w:val="22"/>
          <w:highlight w:val="none"/>
          <w:lang w:val="en-US" w:eastAsia="zh-CN" w:bidi="ar-SA"/>
        </w:rPr>
        <w:t>调节金征收、使用管理的工作人员违反本实施细则规定，在调节金征收和使用管理工作中徇私舞弊、玩忽职守、滥用职权的，依法给予处分；涉嫌犯罪的，依法移送司法机关处理。</w:t>
      </w:r>
    </w:p>
    <w:p>
      <w:pPr>
        <w:pStyle w:val="5"/>
        <w:keepNext/>
        <w:keepLines/>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rPr>
          <w:rFonts w:hint="eastAsia"/>
          <w:highlight w:val="none"/>
        </w:rPr>
      </w:pPr>
      <w:bookmarkStart w:id="26" w:name="_GoBack"/>
      <w:bookmarkEnd w:id="26"/>
      <w:r>
        <w:rPr>
          <w:rFonts w:hint="eastAsia"/>
          <w:highlight w:val="none"/>
        </w:rPr>
        <w:t>第六章</w:t>
      </w:r>
      <w:r>
        <w:rPr>
          <w:rFonts w:hint="eastAsia"/>
          <w:highlight w:val="none"/>
          <w:lang w:val="en-US" w:eastAsia="zh-CN"/>
        </w:rPr>
        <w:t xml:space="preserve"> </w:t>
      </w:r>
      <w:bookmarkStart w:id="24" w:name="OLE_LINK28"/>
      <w:r>
        <w:rPr>
          <w:rFonts w:hint="eastAsia"/>
          <w:highlight w:val="none"/>
          <w:lang w:val="en-US" w:eastAsia="zh-CN"/>
        </w:rPr>
        <w:t xml:space="preserve"> </w:t>
      </w:r>
      <w:r>
        <w:rPr>
          <w:rFonts w:hint="eastAsia"/>
          <w:highlight w:val="none"/>
        </w:rPr>
        <w:t xml:space="preserve">附 </w:t>
      </w:r>
      <w:r>
        <w:rPr>
          <w:rFonts w:hint="eastAsia"/>
          <w:highlight w:val="none"/>
          <w:lang w:val="en-US" w:eastAsia="zh-CN"/>
        </w:rPr>
        <w:t xml:space="preserve">  </w:t>
      </w:r>
      <w:r>
        <w:rPr>
          <w:rFonts w:hint="eastAsia"/>
          <w:highlight w:val="none"/>
        </w:rPr>
        <w:t>则</w:t>
      </w:r>
      <w:bookmarkEnd w:id="24"/>
    </w:p>
    <w:p>
      <w:pPr>
        <w:pStyle w:val="6"/>
        <w:numPr>
          <w:ilvl w:val="0"/>
          <w:numId w:val="0"/>
        </w:numPr>
        <w:tabs>
          <w:tab w:val="clear" w:pos="420"/>
        </w:tabs>
        <w:bidi w:val="0"/>
        <w:ind w:left="0" w:leftChars="0" w:firstLine="562" w:firstLineChars="200"/>
        <w:rPr>
          <w:rFonts w:hint="eastAsia" w:ascii="Times New Roman" w:hAnsi="Times New Roman"/>
          <w:highlight w:val="none"/>
          <w:lang w:val="en-US" w:eastAsia="zh-CN"/>
        </w:rPr>
      </w:pPr>
      <w:r>
        <w:rPr>
          <w:rFonts w:hint="eastAsia" w:ascii="Times New Roman" w:hAnsi="Times New Roman"/>
          <w:highlight w:val="none"/>
          <w:lang w:val="en-US" w:eastAsia="zh-CN"/>
        </w:rPr>
        <w:t xml:space="preserve">第二十条  </w:t>
      </w:r>
      <w:bookmarkStart w:id="25" w:name="OLE_LINK30"/>
      <w:r>
        <w:rPr>
          <w:rFonts w:hint="eastAsia" w:ascii="Times New Roman" w:hAnsi="Times New Roman"/>
          <w:highlight w:val="none"/>
          <w:lang w:val="en-US" w:eastAsia="zh-CN"/>
        </w:rPr>
        <w:t>有效期</w:t>
      </w:r>
      <w:bookmarkEnd w:id="25"/>
    </w:p>
    <w:p>
      <w:pPr>
        <w:ind w:firstLine="640"/>
        <w:rPr>
          <w:highlight w:val="none"/>
        </w:rPr>
      </w:pPr>
      <w:r>
        <w:rPr>
          <w:rFonts w:hint="eastAsia" w:ascii="仿宋" w:hAnsi="仿宋" w:cs="仿宋"/>
          <w:kern w:val="0"/>
          <w:szCs w:val="28"/>
          <w:highlight w:val="none"/>
          <w:lang w:val="en-US" w:eastAsia="zh-CN" w:bidi="ar"/>
        </w:rPr>
        <w:t>本实施细则</w:t>
      </w:r>
      <w:r>
        <w:rPr>
          <w:rFonts w:hint="eastAsia"/>
          <w:highlight w:val="none"/>
        </w:rPr>
        <w:t>自颁布之日起实施，有效期为</w:t>
      </w:r>
      <w:r>
        <w:rPr>
          <w:rFonts w:hint="eastAsia"/>
          <w:highlight w:val="none"/>
          <w:lang w:val="en-US" w:eastAsia="zh-CN"/>
        </w:rPr>
        <w:t>1</w:t>
      </w:r>
      <w:r>
        <w:rPr>
          <w:rFonts w:hint="eastAsia"/>
          <w:highlight w:val="none"/>
        </w:rPr>
        <w:t>年。</w:t>
      </w:r>
    </w:p>
    <w:sectPr>
      <w:footerReference r:id="rId5" w:type="default"/>
      <w:pgSz w:w="11906" w:h="16838"/>
      <w:pgMar w:top="1440" w:right="1800" w:bottom="1440" w:left="1800" w:header="851" w:footer="567"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261E8AD-2E8A-4B89-A3F8-35EA75736C0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75E3A57A-2A6F-4B81-A658-44EEA2F0F9A7}"/>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embedRegular r:id="rId3" w:fontKey="{2768F769-F20C-45B7-AF0F-704A42A0C19C}"/>
  </w:font>
  <w:font w:name="楷体_GB2312">
    <w:panose1 w:val="02010609030101010101"/>
    <w:charset w:val="86"/>
    <w:family w:val="auto"/>
    <w:pitch w:val="default"/>
    <w:sig w:usb0="00000001" w:usb1="080E0000" w:usb2="00000000" w:usb3="00000000" w:csb0="00040000" w:csb1="00000000"/>
    <w:embedRegular r:id="rId4" w:fontKey="{9B97B84B-E5AC-44E5-8B7B-BE7A38452148}"/>
  </w:font>
  <w:font w:name="Arial Unicode MS">
    <w:panose1 w:val="020B0604020202020204"/>
    <w:charset w:val="86"/>
    <w:family w:val="auto"/>
    <w:pitch w:val="default"/>
    <w:sig w:usb0="FFFFFFFF" w:usb1="E9FFFFFF" w:usb2="0000003F" w:usb3="00000000" w:csb0="603F01FF" w:csb1="FFFF0000"/>
    <w:embedRegular r:id="rId5" w:fontKey="{3377DC85-15DE-442B-9F3B-377EB417F30A}"/>
  </w:font>
  <w:font w:name="楷体">
    <w:panose1 w:val="02010609060101010101"/>
    <w:charset w:val="86"/>
    <w:family w:val="modern"/>
    <w:pitch w:val="default"/>
    <w:sig w:usb0="800002BF" w:usb1="38CF7CFA" w:usb2="00000016" w:usb3="00000000" w:csb0="00040001" w:csb1="00000000"/>
    <w:embedRegular r:id="rId6" w:fontKey="{127951A0-65F8-4D4E-AC82-F115BD0294CA}"/>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keepNext w:val="0"/>
      <w:keepLines w:val="0"/>
      <w:pageBreakBefore w:val="0"/>
      <w:widowControl w:val="0"/>
      <w:kinsoku/>
      <w:wordWrap/>
      <w:overflowPunct/>
      <w:topLinePunct w:val="0"/>
      <w:bidi w:val="0"/>
      <w:adjustRightInd/>
      <w:snapToGrid/>
      <w:ind w:left="0" w:leftChars="0" w:firstLine="0" w:firstLineChars="0"/>
      <w:jc w:val="center"/>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keepNext w:val="0"/>
                            <w:keepLines w:val="0"/>
                            <w:pageBreakBefore w:val="0"/>
                            <w:widowControl w:val="0"/>
                            <w:kinsoku/>
                            <w:wordWrap/>
                            <w:overflowPunct/>
                            <w:topLinePunct w:val="0"/>
                            <w:bidi w:val="0"/>
                            <w:adjustRightInd/>
                            <w:snapToGrid/>
                            <w:ind w:firstLine="0" w:firstLineChars="0"/>
                            <w:jc w:val="center"/>
                            <w:textAlignment w:val="auto"/>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keepNext w:val="0"/>
                      <w:keepLines w:val="0"/>
                      <w:pageBreakBefore w:val="0"/>
                      <w:widowControl w:val="0"/>
                      <w:kinsoku/>
                      <w:wordWrap/>
                      <w:overflowPunct/>
                      <w:topLinePunct w:val="0"/>
                      <w:bidi w:val="0"/>
                      <w:adjustRightInd/>
                      <w:snapToGrid/>
                      <w:ind w:firstLine="0" w:firstLineChars="0"/>
                      <w:jc w:val="center"/>
                      <w:textAlignment w:val="auto"/>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260BBD"/>
    <w:multiLevelType w:val="singleLevel"/>
    <w:tmpl w:val="DB260BBD"/>
    <w:lvl w:ilvl="0" w:tentative="0">
      <w:start w:val="1"/>
      <w:numFmt w:val="decimal"/>
      <w:pStyle w:val="6"/>
      <w:lvlText w:val="%1)"/>
      <w:lvlJc w:val="left"/>
      <w:pPr>
        <w:tabs>
          <w:tab w:val="left" w:pos="420"/>
        </w:tabs>
        <w:ind w:left="425" w:leftChars="0" w:hanging="425" w:firstLineChars="0"/>
      </w:pPr>
      <w:rPr>
        <w:rFonts w:hint="default" w:eastAsia="仿宋"/>
      </w:rPr>
    </w:lvl>
  </w:abstractNum>
  <w:abstractNum w:abstractNumId="1">
    <w:nsid w:val="5BC2A888"/>
    <w:multiLevelType w:val="singleLevel"/>
    <w:tmpl w:val="5BC2A888"/>
    <w:lvl w:ilvl="0" w:tentative="0">
      <w:start w:val="1"/>
      <w:numFmt w:val="decimal"/>
      <w:pStyle w:val="3"/>
      <w:lvlText w:val="%1."/>
      <w:lvlJc w:val="left"/>
      <w:pPr>
        <w:ind w:left="425" w:hanging="425"/>
      </w:pPr>
      <w:rPr>
        <w:rFonts w:hint="default"/>
      </w:rPr>
    </w:lvl>
  </w:abstractNum>
  <w:abstractNum w:abstractNumId="2">
    <w:nsid w:val="717A68B0"/>
    <w:multiLevelType w:val="singleLevel"/>
    <w:tmpl w:val="717A68B0"/>
    <w:lvl w:ilvl="0" w:tentative="0">
      <w:start w:val="1"/>
      <w:numFmt w:val="upperLetter"/>
      <w:pStyle w:val="7"/>
      <w:lvlText w:val="%1."/>
      <w:lvlJc w:val="left"/>
      <w:pPr>
        <w:ind w:left="425" w:hanging="425"/>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FhYjFjMmFlNzA5OWNjNjEzYWVjMTVhZWM3M2JmNDAifQ=="/>
  </w:docVars>
  <w:rsids>
    <w:rsidRoot w:val="1EF32DF2"/>
    <w:rsid w:val="015F443F"/>
    <w:rsid w:val="01F338B2"/>
    <w:rsid w:val="027504BF"/>
    <w:rsid w:val="03877D6C"/>
    <w:rsid w:val="058A3D08"/>
    <w:rsid w:val="07DE62F4"/>
    <w:rsid w:val="092D4D1C"/>
    <w:rsid w:val="0E511A18"/>
    <w:rsid w:val="103D4968"/>
    <w:rsid w:val="124F6B19"/>
    <w:rsid w:val="16A119EC"/>
    <w:rsid w:val="18330E82"/>
    <w:rsid w:val="18BF5BA9"/>
    <w:rsid w:val="191832C6"/>
    <w:rsid w:val="1AA34C4A"/>
    <w:rsid w:val="1EF32DF2"/>
    <w:rsid w:val="21124ADC"/>
    <w:rsid w:val="21F13135"/>
    <w:rsid w:val="22E771D2"/>
    <w:rsid w:val="25017BC3"/>
    <w:rsid w:val="277F0B5A"/>
    <w:rsid w:val="2D6A1587"/>
    <w:rsid w:val="395D7864"/>
    <w:rsid w:val="39EC10C2"/>
    <w:rsid w:val="3A112DD7"/>
    <w:rsid w:val="3C5C2A5E"/>
    <w:rsid w:val="40BD183F"/>
    <w:rsid w:val="421262D5"/>
    <w:rsid w:val="4539571E"/>
    <w:rsid w:val="45C7112B"/>
    <w:rsid w:val="488B235F"/>
    <w:rsid w:val="4906640C"/>
    <w:rsid w:val="49C46E3A"/>
    <w:rsid w:val="4B666103"/>
    <w:rsid w:val="4CB559E1"/>
    <w:rsid w:val="4D890D93"/>
    <w:rsid w:val="50E90732"/>
    <w:rsid w:val="53434C19"/>
    <w:rsid w:val="562E1D9A"/>
    <w:rsid w:val="575349F5"/>
    <w:rsid w:val="57604AEF"/>
    <w:rsid w:val="5B137BF9"/>
    <w:rsid w:val="60E713B3"/>
    <w:rsid w:val="61D35BF6"/>
    <w:rsid w:val="621360FD"/>
    <w:rsid w:val="665A717C"/>
    <w:rsid w:val="6A01581E"/>
    <w:rsid w:val="6A154999"/>
    <w:rsid w:val="6AB666D0"/>
    <w:rsid w:val="6BA50547"/>
    <w:rsid w:val="6D7B2D67"/>
    <w:rsid w:val="725B3A30"/>
    <w:rsid w:val="74360AEF"/>
    <w:rsid w:val="771229ED"/>
    <w:rsid w:val="77273C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heme="minorBidi"/>
      <w:kern w:val="2"/>
      <w:sz w:val="28"/>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kern w:val="44"/>
      <w:sz w:val="44"/>
    </w:rPr>
  </w:style>
  <w:style w:type="paragraph" w:styleId="3">
    <w:name w:val="heading 2"/>
    <w:basedOn w:val="1"/>
    <w:next w:val="1"/>
    <w:unhideWhenUsed/>
    <w:qFormat/>
    <w:uiPriority w:val="0"/>
    <w:pPr>
      <w:keepNext/>
      <w:keepLines/>
      <w:widowControl/>
      <w:numPr>
        <w:ilvl w:val="0"/>
        <w:numId w:val="1"/>
      </w:numPr>
      <w:suppressLineNumbers w:val="0"/>
      <w:spacing w:before="260" w:beforeAutospacing="0" w:after="260" w:afterAutospacing="0" w:line="412" w:lineRule="auto"/>
      <w:ind w:left="0" w:right="0"/>
      <w:jc w:val="left"/>
      <w:outlineLvl w:val="1"/>
    </w:pPr>
    <w:rPr>
      <w:rFonts w:hint="eastAsia" w:ascii="等线 Light" w:hAnsi="等线 Light" w:eastAsia="等线 Light" w:cs="Times New Roman"/>
      <w:b/>
      <w:bCs/>
      <w:kern w:val="0"/>
      <w:sz w:val="32"/>
      <w:szCs w:val="32"/>
      <w:lang w:bidi="ar"/>
    </w:rPr>
  </w:style>
  <w:style w:type="paragraph" w:styleId="4">
    <w:name w:val="heading 3"/>
    <w:basedOn w:val="1"/>
    <w:next w:val="1"/>
    <w:link w:val="16"/>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link w:val="19"/>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1"/>
    <w:link w:val="17"/>
    <w:unhideWhenUsed/>
    <w:qFormat/>
    <w:uiPriority w:val="0"/>
    <w:pPr>
      <w:keepNext/>
      <w:keepLines/>
      <w:numPr>
        <w:ilvl w:val="0"/>
        <w:numId w:val="2"/>
      </w:numPr>
      <w:spacing w:before="50" w:beforeLines="50" w:beforeAutospacing="0" w:after="50" w:afterLines="50" w:afterAutospacing="0" w:line="560" w:lineRule="exact"/>
      <w:ind w:left="0" w:firstLine="880" w:firstLineChars="200"/>
      <w:outlineLvl w:val="4"/>
    </w:pPr>
    <w:rPr>
      <w:rFonts w:ascii="Times New Roman" w:hAnsi="Times New Roman" w:eastAsia="楷体_GB2312"/>
      <w:b/>
    </w:rPr>
  </w:style>
  <w:style w:type="paragraph" w:styleId="7">
    <w:name w:val="heading 6"/>
    <w:basedOn w:val="1"/>
    <w:next w:val="1"/>
    <w:link w:val="18"/>
    <w:unhideWhenUsed/>
    <w:qFormat/>
    <w:uiPriority w:val="0"/>
    <w:pPr>
      <w:keepNext/>
      <w:keepLines/>
      <w:numPr>
        <w:ilvl w:val="0"/>
        <w:numId w:val="3"/>
      </w:numPr>
      <w:spacing w:before="50" w:beforeLines="50" w:beforeAutospacing="0" w:after="50" w:afterLines="50" w:afterAutospacing="0" w:line="360" w:lineRule="auto"/>
      <w:ind w:left="0"/>
      <w:outlineLvl w:val="5"/>
    </w:pPr>
    <w:rPr>
      <w:rFonts w:ascii="Arial" w:hAnsi="Arial"/>
      <w:b/>
    </w:rPr>
  </w:style>
  <w:style w:type="character" w:default="1" w:styleId="13">
    <w:name w:val="Default Paragraph Font"/>
    <w:unhideWhenUsed/>
    <w:qFormat/>
    <w:uiPriority w:val="1"/>
  </w:style>
  <w:style w:type="table" w:default="1" w:styleId="1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annotation text"/>
    <w:basedOn w:val="1"/>
    <w:qFormat/>
    <w:uiPriority w:val="0"/>
    <w:pPr>
      <w:jc w:val="left"/>
    </w:pPr>
  </w:style>
  <w:style w:type="paragraph" w:styleId="9">
    <w:name w:val="footer"/>
    <w:basedOn w:val="1"/>
    <w:unhideWhenUsed/>
    <w:qFormat/>
    <w:uiPriority w:val="99"/>
    <w:pPr>
      <w:tabs>
        <w:tab w:val="center" w:pos="4153"/>
        <w:tab w:val="right" w:pos="8306"/>
      </w:tabs>
      <w:jc w:val="left"/>
    </w:pPr>
    <w:rPr>
      <w:sz w:val="18"/>
      <w:szCs w:val="18"/>
    </w:rPr>
  </w:style>
  <w:style w:type="paragraph" w:styleId="10">
    <w:name w:val="header"/>
    <w:basedOn w:val="1"/>
    <w:unhideWhenUsed/>
    <w:qFormat/>
    <w:uiPriority w:val="99"/>
    <w:pPr>
      <w:pBdr>
        <w:bottom w:val="single" w:color="auto" w:sz="6" w:space="1"/>
      </w:pBdr>
      <w:tabs>
        <w:tab w:val="center" w:pos="4153"/>
        <w:tab w:val="right" w:pos="8306"/>
      </w:tabs>
      <w:jc w:val="center"/>
    </w:pPr>
    <w:rPr>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4">
    <w:name w:val="Emphasis"/>
    <w:basedOn w:val="13"/>
    <w:qFormat/>
    <w:uiPriority w:val="0"/>
    <w:rPr>
      <w:i/>
    </w:rPr>
  </w:style>
  <w:style w:type="character" w:styleId="15">
    <w:name w:val="Hyperlink"/>
    <w:basedOn w:val="13"/>
    <w:qFormat/>
    <w:uiPriority w:val="0"/>
    <w:rPr>
      <w:color w:val="0000FF"/>
      <w:u w:val="single"/>
    </w:rPr>
  </w:style>
  <w:style w:type="character" w:customStyle="1" w:styleId="16">
    <w:name w:val="标题 3 字符"/>
    <w:basedOn w:val="13"/>
    <w:link w:val="4"/>
    <w:qFormat/>
    <w:uiPriority w:val="9"/>
    <w:rPr>
      <w:rFonts w:ascii="Times New Roman" w:hAnsi="Times New Roman" w:eastAsia="仿宋"/>
      <w:b/>
      <w:bCs/>
      <w:sz w:val="28"/>
      <w:szCs w:val="32"/>
    </w:rPr>
  </w:style>
  <w:style w:type="character" w:customStyle="1" w:styleId="17">
    <w:name w:val="标题 5 Char"/>
    <w:link w:val="6"/>
    <w:qFormat/>
    <w:uiPriority w:val="0"/>
    <w:rPr>
      <w:rFonts w:ascii="Times New Roman" w:hAnsi="Times New Roman" w:eastAsia="楷体_GB2312"/>
      <w:b/>
    </w:rPr>
  </w:style>
  <w:style w:type="character" w:customStyle="1" w:styleId="18">
    <w:name w:val="标题 6 Char"/>
    <w:link w:val="7"/>
    <w:qFormat/>
    <w:uiPriority w:val="0"/>
    <w:rPr>
      <w:rFonts w:ascii="Arial" w:hAnsi="Arial" w:eastAsia="仿宋"/>
      <w:b/>
    </w:rPr>
  </w:style>
  <w:style w:type="character" w:customStyle="1" w:styleId="19">
    <w:name w:val="标题 4 字符"/>
    <w:basedOn w:val="13"/>
    <w:link w:val="5"/>
    <w:qFormat/>
    <w:uiPriority w:val="0"/>
    <w:rPr>
      <w:rFonts w:ascii="等线 Light" w:hAnsi="等线 Light" w:eastAsia="等线 Light" w:cs="Times New Roman"/>
      <w:b/>
      <w:bCs/>
      <w:kern w:val="2"/>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4643</Words>
  <Characters>4828</Characters>
  <Lines>0</Lines>
  <Paragraphs>0</Paragraphs>
  <TotalTime>11</TotalTime>
  <ScaleCrop>false</ScaleCrop>
  <LinksUpToDate>false</LinksUpToDate>
  <CharactersWithSpaces>4891</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2024-03-13T09:00:00Z</dcterms:created>
  <dc:creator>勇敢的心</dc:creator>
  <cp:lastModifiedBy>罗艳梅</cp:lastModifiedBy>
  <dcterms:modified xsi:type="dcterms:W3CDTF">2024-10-23T06:35:47Z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1064642794A44216B92AD49A2F26D746_13</vt:lpwstr>
  </property>
</Properties>
</file>