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E54670A">
      <w:pPr>
        <w:spacing w:line="560" w:lineRule="exact"/>
        <w:jc w:val="left"/>
        <w:rPr>
          <w:rFonts w:hint="default" w:ascii="Times New Roman" w:hAnsi="Times New Roman" w:eastAsia="方正小标宋_GBK" w:cs="Times New Roman"/>
          <w:spacing w:val="-16"/>
          <w:sz w:val="44"/>
          <w:szCs w:val="44"/>
          <w:lang w:val="en-US" w:eastAsia="zh-CN"/>
        </w:rPr>
      </w:pPr>
      <w:r>
        <w:rPr>
          <w:rFonts w:hint="eastAsia" w:eastAsia="方正小标宋_GBK" w:cs="Times New Roman"/>
          <w:spacing w:val="-16"/>
          <w:sz w:val="21"/>
          <w:szCs w:val="21"/>
          <w:lang w:val="en-US" w:eastAsia="zh-CN"/>
        </w:rPr>
        <w:t>附件5</w:t>
      </w:r>
    </w:p>
    <w:p w14:paraId="52EC0E28">
      <w:pPr>
        <w:spacing w:line="560" w:lineRule="exact"/>
        <w:jc w:val="left"/>
        <w:rPr>
          <w:rFonts w:hint="default" w:ascii="Times New Roman" w:hAnsi="Times New Roman" w:eastAsia="方正小标宋_GBK" w:cs="Times New Roman"/>
          <w:spacing w:val="-16"/>
          <w:sz w:val="44"/>
          <w:szCs w:val="44"/>
          <w:lang w:val="en-US" w:eastAsia="zh-CN"/>
        </w:rPr>
      </w:pPr>
    </w:p>
    <w:p w14:paraId="68916BDA">
      <w:pPr>
        <w:spacing w:line="560" w:lineRule="exact"/>
        <w:jc w:val="center"/>
        <w:rPr>
          <w:rFonts w:hint="default" w:ascii="Times New Roman" w:hAnsi="Times New Roman" w:eastAsia="方正小标宋_GBK" w:cs="Times New Roman"/>
          <w:spacing w:val="-16"/>
          <w:sz w:val="44"/>
          <w:szCs w:val="44"/>
        </w:rPr>
      </w:pPr>
      <w:r>
        <w:rPr>
          <w:rFonts w:hint="eastAsia" w:eastAsia="方正小标宋_GBK" w:cs="Times New Roman"/>
          <w:spacing w:val="-16"/>
          <w:sz w:val="44"/>
          <w:szCs w:val="44"/>
          <w:lang w:val="en-US" w:eastAsia="zh-CN"/>
        </w:rPr>
        <w:t>广州市增城区人民政府荔城街道办事处</w:t>
      </w:r>
      <w:r>
        <w:rPr>
          <w:rFonts w:hint="default" w:ascii="Times New Roman" w:hAnsi="Times New Roman" w:eastAsia="方正小标宋_GBK" w:cs="Times New Roman"/>
          <w:spacing w:val="-16"/>
          <w:sz w:val="44"/>
          <w:szCs w:val="44"/>
        </w:rPr>
        <w:t>202</w:t>
      </w:r>
      <w:r>
        <w:rPr>
          <w:rFonts w:hint="eastAsia" w:eastAsia="方正小标宋_GBK" w:cs="Times New Roman"/>
          <w:spacing w:val="-16"/>
          <w:sz w:val="44"/>
          <w:szCs w:val="44"/>
          <w:lang w:val="en-US" w:eastAsia="zh-CN"/>
        </w:rPr>
        <w:t>4</w:t>
      </w:r>
      <w:r>
        <w:rPr>
          <w:rFonts w:hint="default" w:ascii="Times New Roman" w:hAnsi="Times New Roman" w:eastAsia="方正小标宋_GBK" w:cs="Times New Roman"/>
          <w:spacing w:val="-16"/>
          <w:sz w:val="44"/>
          <w:szCs w:val="44"/>
        </w:rPr>
        <w:t>年</w:t>
      </w:r>
      <w:r>
        <w:rPr>
          <w:rFonts w:hint="eastAsia" w:eastAsia="方正小标宋_GBK" w:cs="Times New Roman"/>
          <w:spacing w:val="-16"/>
          <w:sz w:val="44"/>
          <w:szCs w:val="44"/>
          <w:lang w:eastAsia="zh-CN"/>
        </w:rPr>
        <w:t>度</w:t>
      </w:r>
      <w:r>
        <w:rPr>
          <w:rFonts w:hint="default" w:ascii="Times New Roman" w:hAnsi="Times New Roman" w:eastAsia="方正小标宋_GBK" w:cs="Times New Roman"/>
          <w:spacing w:val="-16"/>
          <w:sz w:val="44"/>
          <w:szCs w:val="44"/>
          <w:lang w:val="en-US" w:eastAsia="zh-CN"/>
        </w:rPr>
        <w:t>福利彩票公益金</w:t>
      </w:r>
      <w:r>
        <w:rPr>
          <w:rFonts w:hint="default" w:ascii="Times New Roman" w:hAnsi="Times New Roman" w:eastAsia="方正小标宋_GBK" w:cs="Times New Roman"/>
          <w:spacing w:val="-16"/>
          <w:sz w:val="44"/>
          <w:szCs w:val="44"/>
        </w:rPr>
        <w:t>资助项目情况公开</w:t>
      </w:r>
    </w:p>
    <w:p w14:paraId="36D1648D">
      <w:pPr>
        <w:spacing w:line="560" w:lineRule="exact"/>
        <w:jc w:val="center"/>
        <w:rPr>
          <w:rFonts w:hint="eastAsia" w:ascii="Times New Roman" w:hAnsi="Times New Roman" w:eastAsia="方正小标宋_GBK" w:cs="Times New Roman"/>
          <w:spacing w:val="-16"/>
          <w:sz w:val="44"/>
          <w:szCs w:val="44"/>
          <w:lang w:eastAsia="zh-CN"/>
        </w:rPr>
      </w:pPr>
      <w:r>
        <w:rPr>
          <w:rFonts w:hint="default" w:ascii="Times New Roman" w:hAnsi="Times New Roman" w:eastAsia="方正小标宋_GBK" w:cs="Times New Roman"/>
          <w:spacing w:val="-16"/>
          <w:sz w:val="44"/>
          <w:szCs w:val="44"/>
        </w:rPr>
        <w:t>（</w:t>
      </w:r>
      <w:bookmarkStart w:id="0" w:name="_GoBack"/>
      <w:r>
        <w:rPr>
          <w:rFonts w:hint="default" w:ascii="Times New Roman" w:hAnsi="Times New Roman" w:eastAsia="方正小标宋_GBK" w:cs="Times New Roman"/>
          <w:spacing w:val="-16"/>
          <w:sz w:val="44"/>
          <w:szCs w:val="44"/>
          <w:lang w:val="en-US" w:eastAsia="zh-CN"/>
        </w:rPr>
        <w:t>增城区长者及重度残疾人助餐配餐补贴经费</w:t>
      </w:r>
      <w:bookmarkEnd w:id="0"/>
      <w:r>
        <w:rPr>
          <w:rFonts w:hint="default" w:ascii="Times New Roman" w:hAnsi="Times New Roman" w:eastAsia="方正小标宋_GBK" w:cs="Times New Roman"/>
          <w:spacing w:val="-16"/>
          <w:sz w:val="44"/>
          <w:szCs w:val="44"/>
        </w:rPr>
        <w:t>）</w:t>
      </w:r>
    </w:p>
    <w:p w14:paraId="21A13816">
      <w:pPr>
        <w:spacing w:line="560" w:lineRule="exact"/>
        <w:rPr>
          <w:rFonts w:hint="default" w:ascii="Times New Roman" w:hAnsi="Times New Roman" w:eastAsia="仿宋_GB2312" w:cs="Times New Roman"/>
          <w:sz w:val="32"/>
          <w:szCs w:val="32"/>
        </w:rPr>
      </w:pPr>
    </w:p>
    <w:p w14:paraId="48CE55B1">
      <w:pPr>
        <w:spacing w:line="560" w:lineRule="exact"/>
        <w:ind w:firstLine="632" w:firstLineChars="200"/>
        <w:rPr>
          <w:rFonts w:hint="default" w:ascii="Times New Roman" w:hAnsi="Times New Roman" w:eastAsia="方正仿宋_GBK" w:cs="Times New Roman"/>
          <w:sz w:val="32"/>
          <w:szCs w:val="32"/>
        </w:rPr>
      </w:pPr>
      <w:r>
        <w:rPr>
          <w:rFonts w:hint="default" w:ascii="Times New Roman" w:hAnsi="Times New Roman" w:eastAsia="方正仿宋_GBK" w:cs="Times New Roman"/>
          <w:sz w:val="32"/>
          <w:szCs w:val="32"/>
        </w:rPr>
        <w:t>为便于社会各界及时了解福利彩票公益金的用途去向，彰显福利彩票“扶老、助残、救孤、济困”的发行宗旨，加强社会监督，促进福利彩票事业持续健康发展，根据《彩票公益金管理办法》《民政部彩票公益金使用管理办法》</w:t>
      </w:r>
      <w:r>
        <w:rPr>
          <w:rFonts w:hint="default" w:ascii="Times New Roman" w:hAnsi="Times New Roman" w:eastAsia="方正仿宋_GBK" w:cs="Times New Roman"/>
          <w:sz w:val="32"/>
          <w:szCs w:val="32"/>
          <w:lang w:val="en-US" w:eastAsia="zh-CN"/>
        </w:rPr>
        <w:t>等</w:t>
      </w:r>
      <w:r>
        <w:rPr>
          <w:rFonts w:hint="default" w:ascii="Times New Roman" w:hAnsi="Times New Roman" w:eastAsia="方正仿宋_GBK" w:cs="Times New Roman"/>
          <w:sz w:val="32"/>
          <w:szCs w:val="32"/>
        </w:rPr>
        <w:t>要求，现对我</w:t>
      </w:r>
      <w:r>
        <w:rPr>
          <w:rFonts w:hint="default" w:ascii="Times New Roman" w:hAnsi="Times New Roman" w:eastAsia="方正仿宋_GBK" w:cs="Times New Roman"/>
          <w:sz w:val="32"/>
          <w:szCs w:val="32"/>
          <w:lang w:val="en-US" w:eastAsia="zh-CN"/>
        </w:rPr>
        <w:t>单位</w:t>
      </w:r>
      <w:r>
        <w:rPr>
          <w:rFonts w:hint="default" w:ascii="Times New Roman" w:hAnsi="Times New Roman" w:eastAsia="方正仿宋_GBK" w:cs="Times New Roman"/>
          <w:sz w:val="32"/>
          <w:szCs w:val="32"/>
        </w:rPr>
        <w:t>202</w:t>
      </w:r>
      <w:r>
        <w:rPr>
          <w:rFonts w:hint="eastAsia" w:eastAsia="方正仿宋_GBK" w:cs="Times New Roman"/>
          <w:sz w:val="32"/>
          <w:szCs w:val="32"/>
          <w:lang w:val="en-US" w:eastAsia="zh-CN"/>
        </w:rPr>
        <w:t>4</w:t>
      </w:r>
      <w:r>
        <w:rPr>
          <w:rFonts w:hint="default" w:ascii="Times New Roman" w:hAnsi="Times New Roman" w:eastAsia="方正仿宋_GBK" w:cs="Times New Roman"/>
          <w:sz w:val="32"/>
          <w:szCs w:val="32"/>
        </w:rPr>
        <w:t>年</w:t>
      </w:r>
      <w:r>
        <w:rPr>
          <w:rFonts w:hint="eastAsia" w:ascii="Times New Roman" w:hAnsi="Times New Roman" w:eastAsia="方正仿宋_GBK" w:cs="Times New Roman"/>
          <w:sz w:val="32"/>
          <w:szCs w:val="32"/>
          <w:lang w:val="en-US" w:eastAsia="zh-CN"/>
        </w:rPr>
        <w:t>度</w:t>
      </w:r>
      <w:r>
        <w:rPr>
          <w:rFonts w:hint="default" w:ascii="Times New Roman" w:hAnsi="Times New Roman" w:eastAsia="方正仿宋_GBK" w:cs="Times New Roman"/>
          <w:sz w:val="32"/>
          <w:szCs w:val="32"/>
          <w:lang w:val="en-US" w:eastAsia="zh-CN"/>
        </w:rPr>
        <w:t>福利彩票公益金</w:t>
      </w:r>
      <w:r>
        <w:rPr>
          <w:rFonts w:hint="default" w:ascii="Times New Roman" w:hAnsi="Times New Roman" w:eastAsia="方正仿宋_GBK" w:cs="Times New Roman"/>
          <w:sz w:val="32"/>
          <w:szCs w:val="32"/>
        </w:rPr>
        <w:t>资助项目信息公告如下：</w:t>
      </w:r>
    </w:p>
    <w:p w14:paraId="172C4EEC">
      <w:pPr>
        <w:spacing w:line="560" w:lineRule="exact"/>
        <w:ind w:firstLine="632" w:firstLineChars="200"/>
        <w:rPr>
          <w:rFonts w:hint="default" w:ascii="Times New Roman" w:hAnsi="Times New Roman" w:eastAsia="方正黑体_GBK" w:cs="Times New Roman"/>
          <w:sz w:val="32"/>
          <w:szCs w:val="32"/>
        </w:rPr>
      </w:pPr>
      <w:r>
        <w:rPr>
          <w:rFonts w:hint="default" w:ascii="Times New Roman" w:hAnsi="Times New Roman" w:eastAsia="方正黑体_GBK" w:cs="Times New Roman"/>
          <w:sz w:val="32"/>
          <w:szCs w:val="32"/>
        </w:rPr>
        <w:t>一、项目信息</w:t>
      </w:r>
    </w:p>
    <w:p w14:paraId="05C9CBD0">
      <w:pPr>
        <w:spacing w:line="560" w:lineRule="exact"/>
        <w:ind w:firstLine="632" w:firstLineChars="200"/>
        <w:rPr>
          <w:rFonts w:hint="default" w:ascii="Times New Roman" w:hAnsi="Times New Roman" w:eastAsia="方正楷体_GBK" w:cs="Times New Roman"/>
          <w:b/>
          <w:bCs/>
          <w:sz w:val="32"/>
          <w:szCs w:val="32"/>
        </w:rPr>
      </w:pPr>
      <w:r>
        <w:rPr>
          <w:rFonts w:hint="default" w:ascii="Times New Roman" w:hAnsi="Times New Roman" w:eastAsia="方正楷体_GBK" w:cs="Times New Roman"/>
          <w:b/>
          <w:bCs/>
          <w:sz w:val="32"/>
          <w:szCs w:val="32"/>
        </w:rPr>
        <w:t>（一）项目名称</w:t>
      </w:r>
    </w:p>
    <w:p w14:paraId="7507C251">
      <w:pPr>
        <w:numPr>
          <w:ilvl w:val="0"/>
          <w:numId w:val="0"/>
        </w:numPr>
        <w:spacing w:line="560" w:lineRule="exact"/>
        <w:ind w:firstLine="632" w:firstLineChars="200"/>
        <w:rPr>
          <w:rFonts w:hint="default" w:ascii="Times New Roman" w:hAnsi="Times New Roman" w:eastAsia="楷体_GB2312" w:cs="Times New Roman"/>
          <w:b/>
          <w:bCs/>
          <w:sz w:val="32"/>
          <w:szCs w:val="32"/>
        </w:rPr>
      </w:pPr>
      <w:r>
        <w:rPr>
          <w:rFonts w:hint="default" w:ascii="Times New Roman" w:hAnsi="Times New Roman" w:eastAsia="方正仿宋_GBK" w:cs="Times New Roman"/>
          <w:sz w:val="32"/>
          <w:szCs w:val="32"/>
        </w:rPr>
        <w:t>增城区长者及重度残疾人助餐配餐补贴经费</w:t>
      </w:r>
    </w:p>
    <w:p w14:paraId="64B3BA6C">
      <w:pPr>
        <w:numPr>
          <w:ilvl w:val="0"/>
          <w:numId w:val="0"/>
        </w:numPr>
        <w:spacing w:line="560" w:lineRule="exact"/>
        <w:ind w:firstLine="632" w:firstLineChars="200"/>
        <w:rPr>
          <w:rFonts w:hint="default" w:ascii="Times New Roman" w:hAnsi="Times New Roman" w:eastAsia="方正楷体_GBK" w:cs="Times New Roman"/>
          <w:b/>
          <w:bCs/>
          <w:sz w:val="32"/>
          <w:szCs w:val="32"/>
        </w:rPr>
      </w:pPr>
      <w:r>
        <w:rPr>
          <w:rFonts w:hint="default" w:ascii="Times New Roman" w:hAnsi="Times New Roman" w:eastAsia="方正楷体_GBK" w:cs="Times New Roman"/>
          <w:b/>
          <w:bCs/>
          <w:sz w:val="32"/>
          <w:szCs w:val="32"/>
        </w:rPr>
        <w:t>（二）项目主要内容</w:t>
      </w:r>
    </w:p>
    <w:p w14:paraId="0F591AE8">
      <w:pPr>
        <w:spacing w:line="560" w:lineRule="exact"/>
        <w:ind w:firstLine="632" w:firstLineChars="200"/>
        <w:rPr>
          <w:rFonts w:hint="default" w:ascii="Times New Roman" w:hAnsi="Times New Roman" w:eastAsia="方正仿宋_GBK" w:cs="Times New Roman"/>
          <w:b w:val="0"/>
          <w:bCs w:val="0"/>
          <w:sz w:val="32"/>
          <w:szCs w:val="32"/>
        </w:rPr>
      </w:pPr>
      <w:r>
        <w:rPr>
          <w:rFonts w:hint="default" w:ascii="Times New Roman" w:hAnsi="Times New Roman" w:eastAsia="方正仿宋_GBK" w:cs="Times New Roman"/>
          <w:b w:val="0"/>
          <w:bCs w:val="0"/>
          <w:sz w:val="32"/>
          <w:szCs w:val="32"/>
        </w:rPr>
        <w:t>统筹推进居家和社区养老服务改革试点和“3+X”试点，构建全覆盖的社会化“大配餐”服务体系。用于长者饭堂助餐配餐服务补贴，深化长者饭堂的服务内涵，提升长者饭堂的服务质量，加强对长者饭堂服务质量监管，增加长者饭堂的服务内容，提升长者饭堂的服务质量。</w:t>
      </w:r>
    </w:p>
    <w:p w14:paraId="2E47D372">
      <w:pPr>
        <w:spacing w:line="560" w:lineRule="exact"/>
        <w:ind w:firstLine="632" w:firstLineChars="200"/>
        <w:rPr>
          <w:rFonts w:hint="default" w:ascii="Times New Roman" w:hAnsi="Times New Roman" w:eastAsia="方正楷体_GBK" w:cs="Times New Roman"/>
          <w:b/>
          <w:bCs/>
          <w:sz w:val="32"/>
          <w:szCs w:val="32"/>
        </w:rPr>
      </w:pPr>
      <w:r>
        <w:rPr>
          <w:rFonts w:hint="default" w:ascii="Times New Roman" w:hAnsi="Times New Roman" w:eastAsia="方正楷体_GBK" w:cs="Times New Roman"/>
          <w:b/>
          <w:bCs/>
          <w:sz w:val="32"/>
          <w:szCs w:val="32"/>
        </w:rPr>
        <w:t>（三）项目周期</w:t>
      </w:r>
    </w:p>
    <w:p w14:paraId="57A043E7">
      <w:pPr>
        <w:spacing w:line="560" w:lineRule="exact"/>
        <w:ind w:firstLine="632" w:firstLineChars="200"/>
        <w:rPr>
          <w:rFonts w:hint="default" w:ascii="Times New Roman" w:hAnsi="Times New Roman" w:eastAsia="方正仿宋_GBK" w:cs="Times New Roman"/>
          <w:sz w:val="32"/>
          <w:szCs w:val="32"/>
        </w:rPr>
      </w:pPr>
      <w:r>
        <w:rPr>
          <w:rFonts w:hint="eastAsia" w:eastAsia="方正仿宋_GBK" w:cs="Times New Roman"/>
          <w:sz w:val="32"/>
          <w:szCs w:val="32"/>
          <w:u w:val="none"/>
          <w:lang w:val="en-US" w:eastAsia="zh-CN"/>
        </w:rPr>
        <w:t>2024</w:t>
      </w:r>
      <w:r>
        <w:rPr>
          <w:rFonts w:hint="default" w:ascii="Times New Roman" w:hAnsi="Times New Roman" w:eastAsia="方正仿宋_GBK" w:cs="Times New Roman"/>
          <w:sz w:val="32"/>
          <w:szCs w:val="32"/>
          <w:lang w:eastAsia="zh-CN"/>
        </w:rPr>
        <w:t>年</w:t>
      </w:r>
      <w:r>
        <w:rPr>
          <w:rFonts w:hint="eastAsia" w:eastAsia="方正仿宋_GBK" w:cs="Times New Roman"/>
          <w:sz w:val="32"/>
          <w:szCs w:val="32"/>
          <w:lang w:val="en-US" w:eastAsia="zh-CN"/>
        </w:rPr>
        <w:t>1</w:t>
      </w:r>
      <w:r>
        <w:rPr>
          <w:rFonts w:hint="default" w:ascii="Times New Roman" w:hAnsi="Times New Roman" w:eastAsia="方正仿宋_GBK" w:cs="Times New Roman"/>
          <w:sz w:val="32"/>
          <w:szCs w:val="32"/>
          <w:lang w:eastAsia="zh-CN"/>
        </w:rPr>
        <w:t>月</w:t>
      </w:r>
      <w:r>
        <w:rPr>
          <w:rFonts w:hint="default" w:ascii="Times New Roman" w:hAnsi="Times New Roman" w:eastAsia="方正仿宋_GBK" w:cs="Times New Roman"/>
          <w:sz w:val="32"/>
          <w:szCs w:val="32"/>
        </w:rPr>
        <w:t>—</w:t>
      </w:r>
      <w:r>
        <w:rPr>
          <w:rFonts w:hint="eastAsia" w:eastAsia="方正仿宋_GBK" w:cs="Times New Roman"/>
          <w:sz w:val="32"/>
          <w:szCs w:val="32"/>
          <w:lang w:val="en-US" w:eastAsia="zh-CN"/>
        </w:rPr>
        <w:t>2024</w:t>
      </w:r>
      <w:r>
        <w:rPr>
          <w:rFonts w:hint="default" w:ascii="Times New Roman" w:hAnsi="Times New Roman" w:eastAsia="方正仿宋_GBK" w:cs="Times New Roman"/>
          <w:sz w:val="32"/>
          <w:szCs w:val="32"/>
          <w:lang w:eastAsia="zh-CN"/>
        </w:rPr>
        <w:t>年</w:t>
      </w:r>
      <w:r>
        <w:rPr>
          <w:rFonts w:hint="eastAsia" w:eastAsia="方正仿宋_GBK" w:cs="Times New Roman"/>
          <w:sz w:val="32"/>
          <w:szCs w:val="32"/>
          <w:lang w:val="en-US" w:eastAsia="zh-CN"/>
        </w:rPr>
        <w:t>12</w:t>
      </w:r>
      <w:r>
        <w:rPr>
          <w:rFonts w:hint="default" w:ascii="Times New Roman" w:hAnsi="Times New Roman" w:eastAsia="方正仿宋_GBK" w:cs="Times New Roman"/>
          <w:sz w:val="32"/>
          <w:szCs w:val="32"/>
          <w:lang w:eastAsia="zh-CN"/>
        </w:rPr>
        <w:t>月</w:t>
      </w:r>
    </w:p>
    <w:p w14:paraId="27BE1B1F">
      <w:pPr>
        <w:spacing w:line="560" w:lineRule="exact"/>
        <w:ind w:firstLine="632" w:firstLineChars="200"/>
        <w:rPr>
          <w:rFonts w:hint="default" w:ascii="Times New Roman" w:hAnsi="Times New Roman" w:eastAsia="方正楷体_GBK" w:cs="Times New Roman"/>
          <w:b/>
          <w:bCs/>
          <w:sz w:val="32"/>
          <w:szCs w:val="32"/>
        </w:rPr>
      </w:pPr>
      <w:r>
        <w:rPr>
          <w:rFonts w:hint="default" w:ascii="Times New Roman" w:hAnsi="Times New Roman" w:eastAsia="方正楷体_GBK" w:cs="Times New Roman"/>
          <w:b/>
          <w:bCs/>
          <w:sz w:val="32"/>
          <w:szCs w:val="32"/>
        </w:rPr>
        <w:t>（四）资金规模</w:t>
      </w:r>
      <w:r>
        <w:rPr>
          <w:rFonts w:hint="default" w:ascii="Times New Roman" w:hAnsi="Times New Roman" w:eastAsia="方正楷体_GBK" w:cs="Times New Roman"/>
          <w:b/>
          <w:bCs/>
          <w:sz w:val="32"/>
          <w:szCs w:val="32"/>
          <w:lang w:eastAsia="zh-CN"/>
        </w:rPr>
        <w:t>和</w:t>
      </w:r>
      <w:r>
        <w:rPr>
          <w:rFonts w:hint="default" w:ascii="Times New Roman" w:hAnsi="Times New Roman" w:eastAsia="方正楷体_GBK" w:cs="Times New Roman"/>
          <w:b/>
          <w:bCs/>
          <w:sz w:val="32"/>
          <w:szCs w:val="32"/>
          <w:lang w:val="en-US" w:eastAsia="zh-CN"/>
        </w:rPr>
        <w:t>执行情况</w:t>
      </w:r>
    </w:p>
    <w:p w14:paraId="1B4BDD70">
      <w:pPr>
        <w:spacing w:line="560" w:lineRule="exact"/>
        <w:ind w:firstLine="632" w:firstLineChars="200"/>
        <w:rPr>
          <w:rFonts w:hint="default" w:ascii="Times New Roman" w:hAnsi="Times New Roman" w:eastAsia="方正仿宋_GBK" w:cs="Times New Roman"/>
          <w:sz w:val="32"/>
          <w:szCs w:val="32"/>
          <w:lang w:val="en-US" w:eastAsia="zh-CN"/>
        </w:rPr>
      </w:pPr>
      <w:r>
        <w:rPr>
          <w:rFonts w:hint="default" w:ascii="Times New Roman" w:hAnsi="Times New Roman" w:eastAsia="方正仿宋_GBK" w:cs="Times New Roman"/>
          <w:sz w:val="32"/>
          <w:szCs w:val="32"/>
        </w:rPr>
        <w:t>项目总额为</w:t>
      </w:r>
      <w:r>
        <w:rPr>
          <w:rFonts w:hint="default" w:ascii="Times New Roman" w:hAnsi="Times New Roman" w:eastAsia="方正仿宋_GBK" w:cs="Times New Roman"/>
          <w:sz w:val="32"/>
          <w:szCs w:val="32"/>
          <w:lang w:val="en-US" w:eastAsia="zh-CN"/>
        </w:rPr>
        <w:t>22.562872</w:t>
      </w:r>
      <w:r>
        <w:rPr>
          <w:rFonts w:hint="default" w:ascii="Times New Roman" w:hAnsi="Times New Roman" w:eastAsia="方正仿宋_GBK" w:cs="Times New Roman"/>
          <w:sz w:val="32"/>
          <w:szCs w:val="32"/>
        </w:rPr>
        <w:t>万元。</w:t>
      </w:r>
      <w:r>
        <w:rPr>
          <w:rFonts w:hint="eastAsia" w:ascii="Times New Roman" w:hAnsi="Times New Roman" w:eastAsia="方正仿宋_GBK" w:cs="Times New Roman"/>
          <w:sz w:val="32"/>
          <w:szCs w:val="32"/>
          <w:lang w:val="en-US" w:eastAsia="zh-CN"/>
        </w:rPr>
        <w:t>其中</w:t>
      </w:r>
      <w:r>
        <w:rPr>
          <w:rFonts w:hint="eastAsia" w:eastAsia="方正仿宋_GBK" w:cs="Times New Roman"/>
          <w:sz w:val="32"/>
          <w:szCs w:val="32"/>
          <w:lang w:eastAsia="zh-CN"/>
        </w:rPr>
        <w:t>2024年</w:t>
      </w:r>
      <w:r>
        <w:rPr>
          <w:rFonts w:hint="default" w:ascii="Times New Roman" w:hAnsi="Times New Roman" w:eastAsia="方正仿宋_GBK" w:cs="Times New Roman"/>
          <w:sz w:val="32"/>
          <w:szCs w:val="32"/>
          <w:lang w:val="en-US" w:eastAsia="zh-CN"/>
        </w:rPr>
        <w:t>资助金额</w:t>
      </w:r>
      <w:r>
        <w:rPr>
          <w:rFonts w:hint="default" w:ascii="Times New Roman" w:hAnsi="Times New Roman" w:eastAsia="方正仿宋_GBK" w:cs="Times New Roman"/>
          <w:sz w:val="32"/>
          <w:szCs w:val="32"/>
        </w:rPr>
        <w:t>为</w:t>
      </w:r>
      <w:r>
        <w:rPr>
          <w:rFonts w:hint="default" w:ascii="Times New Roman" w:hAnsi="Times New Roman" w:eastAsia="方正仿宋_GBK" w:cs="Times New Roman"/>
          <w:sz w:val="32"/>
          <w:szCs w:val="32"/>
          <w:lang w:val="en-US" w:eastAsia="zh-CN"/>
        </w:rPr>
        <w:t>22.562872</w:t>
      </w:r>
      <w:r>
        <w:rPr>
          <w:rFonts w:hint="default" w:ascii="Times New Roman" w:hAnsi="Times New Roman" w:eastAsia="方正仿宋_GBK" w:cs="Times New Roman"/>
          <w:sz w:val="32"/>
          <w:szCs w:val="32"/>
        </w:rPr>
        <w:t>万元，实际支付</w:t>
      </w:r>
      <w:r>
        <w:rPr>
          <w:rFonts w:hint="default" w:ascii="Times New Roman" w:hAnsi="Times New Roman" w:eastAsia="方正仿宋_GBK" w:cs="Times New Roman"/>
          <w:sz w:val="32"/>
          <w:szCs w:val="32"/>
          <w:lang w:val="en-US" w:eastAsia="zh-CN"/>
        </w:rPr>
        <w:t>22.562872</w:t>
      </w:r>
      <w:r>
        <w:rPr>
          <w:rFonts w:hint="default" w:ascii="Times New Roman" w:hAnsi="Times New Roman" w:eastAsia="方正仿宋_GBK" w:cs="Times New Roman"/>
          <w:sz w:val="32"/>
          <w:szCs w:val="32"/>
        </w:rPr>
        <w:t>万元</w:t>
      </w:r>
      <w:r>
        <w:rPr>
          <w:rFonts w:hint="default" w:ascii="Times New Roman" w:hAnsi="Times New Roman" w:eastAsia="方正仿宋_GBK" w:cs="Times New Roman"/>
          <w:sz w:val="32"/>
          <w:szCs w:val="32"/>
          <w:lang w:eastAsia="zh-CN"/>
        </w:rPr>
        <w:t>，</w:t>
      </w:r>
      <w:r>
        <w:rPr>
          <w:rFonts w:hint="default" w:ascii="Times New Roman" w:hAnsi="Times New Roman" w:eastAsia="方正仿宋_GBK" w:cs="Times New Roman"/>
          <w:sz w:val="32"/>
          <w:szCs w:val="32"/>
          <w:lang w:val="en-US" w:eastAsia="zh-CN"/>
        </w:rPr>
        <w:t>结余</w:t>
      </w:r>
      <w:r>
        <w:rPr>
          <w:rFonts w:hint="eastAsia" w:eastAsia="方正仿宋_GBK" w:cs="Times New Roman"/>
          <w:sz w:val="32"/>
          <w:szCs w:val="32"/>
          <w:lang w:val="en-US" w:eastAsia="zh-CN"/>
        </w:rPr>
        <w:t>0</w:t>
      </w:r>
      <w:r>
        <w:rPr>
          <w:rFonts w:hint="default" w:ascii="Times New Roman" w:hAnsi="Times New Roman" w:eastAsia="方正仿宋_GBK" w:cs="Times New Roman"/>
          <w:sz w:val="32"/>
          <w:szCs w:val="32"/>
          <w:lang w:val="en-US" w:eastAsia="zh-CN"/>
        </w:rPr>
        <w:t>万元</w:t>
      </w:r>
      <w:r>
        <w:rPr>
          <w:rFonts w:hint="default" w:ascii="Times New Roman" w:hAnsi="Times New Roman" w:eastAsia="方正仿宋_GBK" w:cs="Times New Roman"/>
          <w:sz w:val="32"/>
          <w:szCs w:val="32"/>
          <w:lang w:eastAsia="zh-CN"/>
        </w:rPr>
        <w:t>。</w:t>
      </w:r>
    </w:p>
    <w:p w14:paraId="7E463687">
      <w:pPr>
        <w:numPr>
          <w:ilvl w:val="0"/>
          <w:numId w:val="0"/>
        </w:numPr>
        <w:spacing w:line="560" w:lineRule="exact"/>
        <w:ind w:firstLine="632" w:firstLineChars="200"/>
        <w:rPr>
          <w:rFonts w:hint="default" w:ascii="Times New Roman" w:hAnsi="Times New Roman" w:eastAsia="方正黑体_GBK" w:cs="Times New Roman"/>
          <w:sz w:val="32"/>
          <w:szCs w:val="32"/>
        </w:rPr>
      </w:pPr>
      <w:r>
        <w:rPr>
          <w:rFonts w:hint="default" w:ascii="Times New Roman" w:hAnsi="Times New Roman" w:eastAsia="方正黑体_GBK" w:cs="Times New Roman"/>
          <w:sz w:val="32"/>
          <w:szCs w:val="32"/>
          <w:lang w:val="en-US" w:eastAsia="zh-CN"/>
        </w:rPr>
        <w:t>二、</w:t>
      </w:r>
      <w:r>
        <w:rPr>
          <w:rFonts w:hint="default" w:ascii="Times New Roman" w:hAnsi="Times New Roman" w:eastAsia="方正黑体_GBK" w:cs="Times New Roman"/>
          <w:sz w:val="32"/>
          <w:szCs w:val="32"/>
        </w:rPr>
        <w:t>项目成果</w:t>
      </w:r>
    </w:p>
    <w:p w14:paraId="121A2F29">
      <w:pPr>
        <w:numPr>
          <w:ilvl w:val="0"/>
          <w:numId w:val="0"/>
        </w:numPr>
        <w:spacing w:line="560" w:lineRule="exact"/>
        <w:ind w:firstLine="632" w:firstLineChars="200"/>
        <w:rPr>
          <w:rFonts w:hint="default" w:ascii="Times New Roman" w:hAnsi="Times New Roman" w:eastAsia="方正楷体_GBK" w:cs="Times New Roman"/>
          <w:b/>
          <w:bCs/>
          <w:sz w:val="32"/>
          <w:szCs w:val="32"/>
          <w:lang w:eastAsia="zh-CN"/>
        </w:rPr>
      </w:pPr>
      <w:r>
        <w:rPr>
          <w:rFonts w:hint="default" w:ascii="Times New Roman" w:hAnsi="Times New Roman" w:eastAsia="方正楷体_GBK" w:cs="Times New Roman"/>
          <w:b/>
          <w:bCs/>
          <w:sz w:val="32"/>
          <w:szCs w:val="32"/>
        </w:rPr>
        <w:t>（一）项目完成情况</w:t>
      </w:r>
      <w:r>
        <w:rPr>
          <w:rFonts w:hint="default" w:ascii="Times New Roman" w:hAnsi="Times New Roman" w:eastAsia="方正楷体_GBK" w:cs="Times New Roman"/>
          <w:b/>
          <w:bCs/>
          <w:sz w:val="32"/>
          <w:szCs w:val="32"/>
          <w:lang w:eastAsia="zh-CN"/>
        </w:rPr>
        <w:t>和支出内容</w:t>
      </w:r>
    </w:p>
    <w:p w14:paraId="059739AA">
      <w:pPr>
        <w:numPr>
          <w:ilvl w:val="0"/>
          <w:numId w:val="0"/>
        </w:numPr>
        <w:spacing w:line="560" w:lineRule="exact"/>
        <w:ind w:firstLine="632" w:firstLineChars="200"/>
        <w:rPr>
          <w:rFonts w:hint="default" w:ascii="Times New Roman" w:hAnsi="Times New Roman" w:eastAsia="楷体_GB2312" w:cs="Times New Roman"/>
          <w:b/>
          <w:bCs/>
          <w:sz w:val="32"/>
          <w:szCs w:val="32"/>
        </w:rPr>
      </w:pPr>
      <w:r>
        <w:rPr>
          <w:rFonts w:hint="eastAsia" w:eastAsia="方正仿宋_GBK"/>
          <w:sz w:val="32"/>
          <w:szCs w:val="32"/>
        </w:rPr>
        <w:t>2024年1-12月助餐配餐服务</w:t>
      </w:r>
      <w:r>
        <w:rPr>
          <w:rFonts w:hint="eastAsia" w:eastAsia="方正仿宋_GBK"/>
          <w:sz w:val="32"/>
          <w:szCs w:val="32"/>
          <w:lang w:val="en-US" w:eastAsia="zh-CN"/>
        </w:rPr>
        <w:t>增城区户籍群众180162</w:t>
      </w:r>
      <w:r>
        <w:rPr>
          <w:rFonts w:hint="eastAsia" w:eastAsia="方正仿宋_GBK"/>
          <w:sz w:val="32"/>
          <w:szCs w:val="32"/>
        </w:rPr>
        <w:t>人次</w:t>
      </w:r>
      <w:r>
        <w:rPr>
          <w:rFonts w:hint="eastAsia" w:eastAsia="方正仿宋_GBK"/>
          <w:sz w:val="32"/>
          <w:szCs w:val="32"/>
          <w:lang w:eastAsia="zh-CN"/>
        </w:rPr>
        <w:t>。</w:t>
      </w:r>
      <w:r>
        <w:rPr>
          <w:rFonts w:hint="eastAsia" w:eastAsia="方正仿宋_GBK" w:cs="Times New Roman"/>
          <w:sz w:val="32"/>
          <w:szCs w:val="32"/>
          <w:lang w:val="en-US" w:eastAsia="zh-CN"/>
        </w:rPr>
        <w:t>年初预算0万元，调整后全年预算</w:t>
      </w:r>
      <w:r>
        <w:rPr>
          <w:rFonts w:hint="default" w:ascii="Times New Roman" w:hAnsi="Times New Roman" w:eastAsia="方正仿宋_GBK" w:cs="Times New Roman"/>
          <w:sz w:val="32"/>
          <w:szCs w:val="32"/>
          <w:lang w:val="en-US" w:eastAsia="zh-CN"/>
        </w:rPr>
        <w:t>22.562872</w:t>
      </w:r>
      <w:r>
        <w:rPr>
          <w:rFonts w:hint="eastAsia" w:eastAsia="方正仿宋_GBK" w:cs="Times New Roman"/>
          <w:sz w:val="32"/>
          <w:szCs w:val="32"/>
          <w:lang w:val="en-US" w:eastAsia="zh-CN"/>
        </w:rPr>
        <w:t>万元，全年实际支出金额</w:t>
      </w:r>
      <w:r>
        <w:rPr>
          <w:rFonts w:hint="default" w:ascii="Times New Roman" w:hAnsi="Times New Roman" w:eastAsia="方正仿宋_GBK" w:cs="Times New Roman"/>
          <w:sz w:val="32"/>
          <w:szCs w:val="32"/>
          <w:lang w:val="en-US" w:eastAsia="zh-CN"/>
        </w:rPr>
        <w:t>22.562872</w:t>
      </w:r>
      <w:r>
        <w:rPr>
          <w:rFonts w:hint="eastAsia" w:eastAsia="方正仿宋_GBK" w:cs="Times New Roman"/>
          <w:sz w:val="32"/>
          <w:szCs w:val="32"/>
          <w:lang w:val="en-US" w:eastAsia="zh-CN"/>
        </w:rPr>
        <w:t>万元。</w:t>
      </w:r>
    </w:p>
    <w:p w14:paraId="355B895F">
      <w:pPr>
        <w:numPr>
          <w:ilvl w:val="0"/>
          <w:numId w:val="0"/>
        </w:numPr>
        <w:spacing w:line="560" w:lineRule="exact"/>
        <w:ind w:firstLine="632" w:firstLineChars="200"/>
        <w:rPr>
          <w:rFonts w:hint="default" w:ascii="Times New Roman" w:hAnsi="Times New Roman" w:eastAsia="方正楷体_GBK" w:cs="Times New Roman"/>
          <w:b/>
          <w:bCs/>
          <w:sz w:val="32"/>
          <w:szCs w:val="32"/>
        </w:rPr>
      </w:pPr>
      <w:r>
        <w:rPr>
          <w:rFonts w:hint="default" w:ascii="Times New Roman" w:hAnsi="Times New Roman" w:eastAsia="方正楷体_GBK" w:cs="Times New Roman"/>
          <w:b/>
          <w:bCs/>
          <w:sz w:val="32"/>
          <w:szCs w:val="32"/>
        </w:rPr>
        <w:t>（二）绩效目标完成情况</w:t>
      </w:r>
    </w:p>
    <w:p w14:paraId="2D9C2196">
      <w:pPr>
        <w:pStyle w:val="15"/>
        <w:spacing w:line="560" w:lineRule="exact"/>
        <w:ind w:firstLine="472" w:firstLineChars="200"/>
        <w:rPr>
          <w:rFonts w:hint="default" w:eastAsia="宋体"/>
          <w:lang w:val="en-US" w:eastAsia="zh-CN"/>
        </w:rPr>
      </w:pPr>
      <w:r>
        <w:rPr>
          <w:rFonts w:hint="eastAsia"/>
          <w:lang w:val="en-US" w:eastAsia="zh-CN"/>
        </w:rPr>
        <w:t xml:space="preserve"> </w:t>
      </w:r>
      <w:r>
        <w:rPr>
          <w:rFonts w:hint="eastAsia" w:eastAsia="方正仿宋_GBK" w:cs="Times New Roman"/>
          <w:b w:val="0"/>
          <w:bCs w:val="0"/>
          <w:sz w:val="32"/>
          <w:szCs w:val="32"/>
          <w:lang w:val="en-US" w:eastAsia="zh-CN"/>
        </w:rPr>
        <w:t>完成2024年助餐配餐服务内容</w:t>
      </w:r>
      <w:r>
        <w:rPr>
          <w:rFonts w:hint="default" w:ascii="Times New Roman" w:hAnsi="Times New Roman" w:eastAsia="方正仿宋_GBK" w:cs="Times New Roman"/>
          <w:b w:val="0"/>
          <w:bCs w:val="0"/>
          <w:sz w:val="32"/>
          <w:szCs w:val="32"/>
        </w:rPr>
        <w:t>。</w:t>
      </w:r>
      <w:r>
        <w:rPr>
          <w:rFonts w:hint="eastAsia" w:eastAsia="方正仿宋_GBK" w:cs="Times New Roman"/>
          <w:b w:val="0"/>
          <w:bCs w:val="0"/>
          <w:sz w:val="32"/>
          <w:szCs w:val="32"/>
          <w:lang w:val="en-US" w:eastAsia="zh-CN"/>
        </w:rPr>
        <w:t>本项目资金</w:t>
      </w:r>
      <w:r>
        <w:rPr>
          <w:rFonts w:hint="default" w:ascii="Times New Roman" w:hAnsi="Times New Roman" w:eastAsia="方正仿宋_GBK" w:cs="Times New Roman"/>
          <w:b w:val="0"/>
          <w:bCs w:val="0"/>
          <w:sz w:val="32"/>
          <w:szCs w:val="32"/>
        </w:rPr>
        <w:t>用于</w:t>
      </w:r>
      <w:r>
        <w:rPr>
          <w:rFonts w:hint="eastAsia" w:eastAsia="方正仿宋_GBK" w:cs="Times New Roman"/>
          <w:b w:val="0"/>
          <w:bCs w:val="0"/>
          <w:sz w:val="32"/>
          <w:szCs w:val="32"/>
          <w:lang w:val="en-US" w:eastAsia="zh-CN"/>
        </w:rPr>
        <w:t>2024年</w:t>
      </w:r>
      <w:r>
        <w:rPr>
          <w:rFonts w:hint="default" w:ascii="Times New Roman" w:hAnsi="Times New Roman" w:eastAsia="方正仿宋_GBK" w:cs="Times New Roman"/>
          <w:b w:val="0"/>
          <w:bCs w:val="0"/>
          <w:sz w:val="32"/>
          <w:szCs w:val="32"/>
        </w:rPr>
        <w:t>长者饭堂助餐配餐服务补贴，深化长者饭堂的服务内涵，提升长者饭堂的服务质量，加强对长者饭堂服务质量监管，增加长者饭堂的服务内容，提升长者饭堂的服务质量</w:t>
      </w:r>
      <w:r>
        <w:rPr>
          <w:rFonts w:hint="default" w:ascii="Times New Roman" w:hAnsi="Times New Roman" w:eastAsia="方正仿宋_GBK" w:cs="Times New Roman"/>
          <w:b w:val="0"/>
          <w:bCs w:val="0"/>
          <w:sz w:val="32"/>
          <w:szCs w:val="32"/>
          <w:lang w:val="en-US" w:eastAsia="zh-CN"/>
        </w:rPr>
        <w:t>。</w:t>
      </w:r>
    </w:p>
    <w:p w14:paraId="53476E39">
      <w:pPr>
        <w:numPr>
          <w:ilvl w:val="0"/>
          <w:numId w:val="0"/>
        </w:numPr>
        <w:spacing w:line="560" w:lineRule="exact"/>
        <w:ind w:firstLine="632" w:firstLineChars="200"/>
        <w:rPr>
          <w:rFonts w:hint="default" w:ascii="Times New Roman" w:hAnsi="Times New Roman" w:eastAsia="方正楷体_GBK" w:cs="Times New Roman"/>
          <w:b/>
          <w:bCs/>
          <w:sz w:val="32"/>
          <w:szCs w:val="32"/>
          <w:lang w:val="en-US" w:eastAsia="zh-CN"/>
        </w:rPr>
      </w:pPr>
      <w:r>
        <w:rPr>
          <w:rFonts w:hint="default" w:ascii="Times New Roman" w:hAnsi="Times New Roman" w:eastAsia="方正楷体_GBK" w:cs="Times New Roman"/>
          <w:b/>
          <w:bCs/>
          <w:sz w:val="32"/>
          <w:szCs w:val="32"/>
          <w:lang w:val="en-US" w:eastAsia="zh-CN"/>
        </w:rPr>
        <w:t>（三）绩效指标完成情况</w:t>
      </w:r>
    </w:p>
    <w:p w14:paraId="4F3C1EFF">
      <w:pPr>
        <w:numPr>
          <w:ilvl w:val="0"/>
          <w:numId w:val="0"/>
        </w:numPr>
        <w:spacing w:line="560" w:lineRule="exact"/>
        <w:ind w:firstLine="632" w:firstLineChars="200"/>
        <w:rPr>
          <w:rFonts w:hint="eastAsia" w:eastAsia="方正黑体_GBK" w:cs="Times New Roman"/>
          <w:b w:val="0"/>
          <w:bCs w:val="0"/>
          <w:sz w:val="32"/>
          <w:szCs w:val="32"/>
          <w:lang w:val="en-US" w:eastAsia="zh-CN"/>
        </w:rPr>
      </w:pPr>
      <w:r>
        <w:rPr>
          <w:rFonts w:hint="eastAsia" w:eastAsia="方正仿宋_GBK" w:cs="Times New Roman"/>
          <w:b w:val="0"/>
          <w:bCs w:val="0"/>
          <w:sz w:val="32"/>
          <w:szCs w:val="32"/>
          <w:lang w:val="en-US" w:eastAsia="zh-CN"/>
        </w:rPr>
        <w:t>1.资金管理指标。资金指出率为100%。</w:t>
      </w:r>
    </w:p>
    <w:p w14:paraId="7B20004A">
      <w:pPr>
        <w:numPr>
          <w:ilvl w:val="0"/>
          <w:numId w:val="0"/>
        </w:numPr>
        <w:spacing w:line="560" w:lineRule="exact"/>
        <w:ind w:firstLine="632" w:firstLineChars="200"/>
        <w:rPr>
          <w:rFonts w:hint="default" w:eastAsia="方正仿宋_GBK" w:cs="Times New Roman"/>
          <w:b w:val="0"/>
          <w:bCs w:val="0"/>
          <w:sz w:val="32"/>
          <w:szCs w:val="32"/>
          <w:lang w:val="en-US" w:eastAsia="zh-CN"/>
        </w:rPr>
      </w:pPr>
      <w:r>
        <w:rPr>
          <w:rFonts w:hint="eastAsia" w:eastAsia="方正黑体_GBK" w:cs="Times New Roman"/>
          <w:b w:val="0"/>
          <w:bCs w:val="0"/>
          <w:sz w:val="32"/>
          <w:szCs w:val="32"/>
          <w:lang w:val="en-US" w:eastAsia="zh-CN"/>
        </w:rPr>
        <w:t>2.质量</w:t>
      </w:r>
      <w:r>
        <w:rPr>
          <w:rFonts w:hint="default" w:ascii="Times New Roman" w:hAnsi="Times New Roman" w:eastAsia="方正黑体_GBK" w:cs="Times New Roman"/>
          <w:b w:val="0"/>
          <w:bCs w:val="0"/>
          <w:sz w:val="32"/>
          <w:szCs w:val="32"/>
          <w:lang w:val="en-US" w:eastAsia="zh-CN"/>
        </w:rPr>
        <w:t>指标</w:t>
      </w:r>
      <w:r>
        <w:rPr>
          <w:rFonts w:hint="eastAsia" w:eastAsia="方正黑体_GBK" w:cs="Times New Roman"/>
          <w:b w:val="0"/>
          <w:bCs w:val="0"/>
          <w:sz w:val="32"/>
          <w:szCs w:val="32"/>
          <w:lang w:val="en-US" w:eastAsia="zh-CN"/>
        </w:rPr>
        <w:t>。满足长者及18-59岁重度残疾人的饮食需求为100%，可满足申请助餐配餐服务长者及重度残疾人的饮食需求。</w:t>
      </w:r>
    </w:p>
    <w:p w14:paraId="2C9EF541">
      <w:pPr>
        <w:numPr>
          <w:ilvl w:val="0"/>
          <w:numId w:val="0"/>
        </w:numPr>
        <w:spacing w:line="560" w:lineRule="exact"/>
        <w:ind w:firstLine="632" w:firstLineChars="200"/>
        <w:rPr>
          <w:rFonts w:hint="default" w:eastAsia="方正仿宋_GBK" w:cs="Times New Roman"/>
          <w:b w:val="0"/>
          <w:bCs w:val="0"/>
          <w:sz w:val="32"/>
          <w:szCs w:val="32"/>
          <w:lang w:val="en-US" w:eastAsia="zh-CN"/>
        </w:rPr>
      </w:pPr>
      <w:r>
        <w:rPr>
          <w:rFonts w:hint="eastAsia" w:eastAsia="方正仿宋_GBK" w:cs="Times New Roman"/>
          <w:b w:val="0"/>
          <w:bCs w:val="0"/>
          <w:sz w:val="32"/>
          <w:szCs w:val="32"/>
          <w:lang w:val="en-US" w:eastAsia="zh-CN"/>
        </w:rPr>
        <w:t>3.社会</w:t>
      </w:r>
      <w:r>
        <w:rPr>
          <w:rFonts w:hint="default" w:ascii="Times New Roman" w:hAnsi="Times New Roman" w:eastAsia="方正仿宋_GBK" w:cs="Times New Roman"/>
          <w:b w:val="0"/>
          <w:bCs w:val="0"/>
          <w:sz w:val="32"/>
          <w:szCs w:val="32"/>
          <w:lang w:val="en-US" w:eastAsia="zh-CN"/>
        </w:rPr>
        <w:t>效益指标</w:t>
      </w:r>
      <w:r>
        <w:rPr>
          <w:rFonts w:hint="eastAsia" w:eastAsia="方正仿宋_GBK" w:cs="Times New Roman"/>
          <w:b w:val="0"/>
          <w:bCs w:val="0"/>
          <w:sz w:val="32"/>
          <w:szCs w:val="32"/>
          <w:lang w:val="en-US" w:eastAsia="zh-CN"/>
        </w:rPr>
        <w:t>。保障工作正常开展，已完成2024年期间的助餐配餐服务。</w:t>
      </w:r>
    </w:p>
    <w:p w14:paraId="6AA9EB95">
      <w:pPr>
        <w:numPr>
          <w:ilvl w:val="0"/>
          <w:numId w:val="0"/>
        </w:numPr>
        <w:spacing w:line="560" w:lineRule="exact"/>
        <w:ind w:firstLine="632" w:firstLineChars="200"/>
        <w:rPr>
          <w:rFonts w:hint="default" w:ascii="Times New Roman" w:hAnsi="Times New Roman" w:eastAsia="方正仿宋_GBK" w:cs="Times New Roman"/>
          <w:b w:val="0"/>
          <w:bCs w:val="0"/>
          <w:sz w:val="32"/>
          <w:szCs w:val="32"/>
          <w:lang w:val="en-US" w:eastAsia="zh-CN"/>
        </w:rPr>
      </w:pPr>
      <w:r>
        <w:rPr>
          <w:rFonts w:hint="eastAsia" w:eastAsia="方正仿宋_GBK" w:cs="Times New Roman"/>
          <w:b w:val="0"/>
          <w:bCs w:val="0"/>
          <w:sz w:val="32"/>
          <w:szCs w:val="32"/>
          <w:lang w:val="en-US" w:eastAsia="zh-CN"/>
        </w:rPr>
        <w:t>4.</w:t>
      </w:r>
      <w:r>
        <w:rPr>
          <w:rFonts w:hint="default" w:ascii="Times New Roman" w:hAnsi="Times New Roman" w:eastAsia="方正仿宋_GBK" w:cs="Times New Roman"/>
          <w:b w:val="0"/>
          <w:bCs w:val="0"/>
          <w:sz w:val="32"/>
          <w:szCs w:val="32"/>
          <w:lang w:val="en-US" w:eastAsia="zh-CN"/>
        </w:rPr>
        <w:t>满意度指标</w:t>
      </w:r>
      <w:r>
        <w:rPr>
          <w:rFonts w:hint="eastAsia" w:eastAsia="方正仿宋_GBK" w:cs="Times New Roman"/>
          <w:b w:val="0"/>
          <w:bCs w:val="0"/>
          <w:sz w:val="32"/>
          <w:szCs w:val="32"/>
          <w:lang w:val="en-US" w:eastAsia="zh-CN"/>
        </w:rPr>
        <w:t>。服务对象满意度为92.64%。</w:t>
      </w:r>
    </w:p>
    <w:p w14:paraId="4A58BF6B">
      <w:pPr>
        <w:numPr>
          <w:ilvl w:val="0"/>
          <w:numId w:val="0"/>
        </w:numPr>
        <w:spacing w:line="560" w:lineRule="exact"/>
        <w:ind w:firstLine="632" w:firstLineChars="200"/>
        <w:rPr>
          <w:rFonts w:hint="default" w:ascii="Times New Roman" w:hAnsi="Times New Roman" w:eastAsia="方正黑体_GBK" w:cs="Times New Roman"/>
          <w:b w:val="0"/>
          <w:bCs w:val="0"/>
          <w:sz w:val="32"/>
          <w:szCs w:val="32"/>
          <w:lang w:val="en-US" w:eastAsia="zh-CN"/>
        </w:rPr>
      </w:pPr>
      <w:r>
        <w:rPr>
          <w:rFonts w:hint="default" w:ascii="Times New Roman" w:hAnsi="Times New Roman" w:eastAsia="方正黑体_GBK" w:cs="Times New Roman"/>
          <w:b w:val="0"/>
          <w:bCs w:val="0"/>
          <w:sz w:val="32"/>
          <w:szCs w:val="32"/>
          <w:lang w:val="en-US" w:eastAsia="zh-CN"/>
        </w:rPr>
        <w:t>三、存在问题和改进措施</w:t>
      </w:r>
    </w:p>
    <w:p w14:paraId="3790223F">
      <w:pPr>
        <w:spacing w:line="560" w:lineRule="exact"/>
        <w:ind w:firstLine="632" w:firstLineChars="200"/>
        <w:rPr>
          <w:rFonts w:hint="default" w:ascii="Times New Roman" w:hAnsi="Times New Roman" w:eastAsia="方正仿宋_GBK" w:cs="Times New Roman"/>
          <w:sz w:val="32"/>
          <w:szCs w:val="32"/>
          <w:lang w:val="en-US" w:eastAsia="zh-CN"/>
        </w:rPr>
      </w:pPr>
      <w:r>
        <w:rPr>
          <w:rFonts w:hint="eastAsia" w:eastAsia="方正仿宋_GBK" w:cs="Times New Roman"/>
          <w:sz w:val="32"/>
          <w:szCs w:val="32"/>
          <w:lang w:val="en-US" w:eastAsia="zh-CN"/>
        </w:rPr>
        <w:t>无</w:t>
      </w:r>
      <w:r>
        <w:rPr>
          <w:rFonts w:hint="default" w:ascii="Times New Roman" w:hAnsi="Times New Roman" w:eastAsia="方正仿宋_GBK" w:cs="Times New Roman"/>
          <w:sz w:val="32"/>
          <w:szCs w:val="32"/>
          <w:lang w:val="en-US" w:eastAsia="zh-CN"/>
        </w:rPr>
        <w:t>。</w:t>
      </w:r>
    </w:p>
    <w:p w14:paraId="12A34AFD">
      <w:pPr>
        <w:spacing w:line="560" w:lineRule="exact"/>
        <w:rPr>
          <w:rFonts w:hint="default" w:ascii="Times New Roman" w:hAnsi="Times New Roman" w:eastAsia="仿宋_GB2312" w:cs="Times New Roman"/>
          <w:sz w:val="32"/>
          <w:szCs w:val="32"/>
        </w:rPr>
      </w:pPr>
    </w:p>
    <w:p w14:paraId="49B8DDFA">
      <w:pPr>
        <w:spacing w:line="560" w:lineRule="exact"/>
        <w:jc w:val="left"/>
        <w:rPr>
          <w:rFonts w:hint="default" w:ascii="Times New Roman" w:hAnsi="Times New Roman" w:eastAsia="仿宋_GB2312" w:cs="Times New Roman"/>
          <w:b/>
          <w:bCs/>
          <w:sz w:val="28"/>
          <w:szCs w:val="28"/>
        </w:rPr>
      </w:pPr>
    </w:p>
    <w:sectPr>
      <w:pgSz w:w="11906" w:h="16838"/>
      <w:pgMar w:top="2098" w:right="1474" w:bottom="1984" w:left="1587" w:header="851" w:footer="992" w:gutter="0"/>
      <w:cols w:space="720" w:num="1"/>
      <w:rtlGutter w:val="0"/>
      <w:docGrid w:type="linesAndChars" w:linePitch="579" w:charSpace="-88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小标宋_GBK">
    <w:altName w:val="微软雅黑"/>
    <w:panose1 w:val="02000000000000000000"/>
    <w:charset w:val="86"/>
    <w:family w:val="script"/>
    <w:pitch w:val="default"/>
    <w:sig w:usb0="00000000" w:usb1="0000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仿宋_GBK">
    <w:altName w:val="微软雅黑"/>
    <w:panose1 w:val="02000000000000000000"/>
    <w:charset w:val="86"/>
    <w:family w:val="auto"/>
    <w:pitch w:val="default"/>
    <w:sig w:usb0="00000000" w:usb1="00000000" w:usb2="00000000" w:usb3="00000000" w:csb0="00040000" w:csb1="00000000"/>
  </w:font>
  <w:font w:name="方正黑体_GBK">
    <w:altName w:val="微软雅黑"/>
    <w:panose1 w:val="02000000000000000000"/>
    <w:charset w:val="86"/>
    <w:family w:val="auto"/>
    <w:pitch w:val="default"/>
    <w:sig w:usb0="00000000" w:usb1="00000000" w:usb2="00000000" w:usb3="00000000" w:csb0="00040000" w:csb1="00000000"/>
  </w:font>
  <w:font w:name="方正楷体_GBK">
    <w:altName w:val="微软雅黑"/>
    <w:panose1 w:val="02000000000000000000"/>
    <w:charset w:val="86"/>
    <w:family w:val="auto"/>
    <w:pitch w:val="default"/>
    <w:sig w:usb0="00000000" w:usb1="00000000" w:usb2="00000000" w:usb3="00000000" w:csb0="00040000" w:csb1="00000000"/>
  </w:font>
  <w:font w:name="楷体_GB2312">
    <w:altName w:val="楷体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bordersDoNotSurroundHeader w:val="0"/>
  <w:bordersDoNotSurroundFooter w:val="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trackRevisions w:val="1"/>
  <w:documentProtection w:enforcement="0"/>
  <w:defaultTabStop w:val="420"/>
  <w:hyphenationZone w:val="360"/>
  <w:drawingGridHorizontalSpacing w:val="103"/>
  <w:drawingGridVerticalSpacing w:val="290"/>
  <w:displayHorizontalDrawingGridEvery w:val="2"/>
  <w:displayVerticalDrawingGridEvery w:val="2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C571DC"/>
    <w:rsid w:val="00072DED"/>
    <w:rsid w:val="000B350F"/>
    <w:rsid w:val="0014739D"/>
    <w:rsid w:val="001F5727"/>
    <w:rsid w:val="00263031"/>
    <w:rsid w:val="00372F7F"/>
    <w:rsid w:val="003C09AE"/>
    <w:rsid w:val="003E4F00"/>
    <w:rsid w:val="005C7017"/>
    <w:rsid w:val="0062235E"/>
    <w:rsid w:val="00643D4F"/>
    <w:rsid w:val="006B2BFF"/>
    <w:rsid w:val="006F6C4A"/>
    <w:rsid w:val="00705A75"/>
    <w:rsid w:val="008C440B"/>
    <w:rsid w:val="00932FA0"/>
    <w:rsid w:val="00994A2C"/>
    <w:rsid w:val="00B17BF5"/>
    <w:rsid w:val="00B6544B"/>
    <w:rsid w:val="00C34DFB"/>
    <w:rsid w:val="00C571DC"/>
    <w:rsid w:val="00D4709F"/>
    <w:rsid w:val="00D8305E"/>
    <w:rsid w:val="00E8640A"/>
    <w:rsid w:val="00F45A08"/>
    <w:rsid w:val="00F53C53"/>
    <w:rsid w:val="011D3AE1"/>
    <w:rsid w:val="01282031"/>
    <w:rsid w:val="014070D7"/>
    <w:rsid w:val="024C1C75"/>
    <w:rsid w:val="031E7D45"/>
    <w:rsid w:val="032938FA"/>
    <w:rsid w:val="04F21594"/>
    <w:rsid w:val="05822135"/>
    <w:rsid w:val="0673324E"/>
    <w:rsid w:val="067558FE"/>
    <w:rsid w:val="06AD24E8"/>
    <w:rsid w:val="07224ECF"/>
    <w:rsid w:val="08015784"/>
    <w:rsid w:val="09941433"/>
    <w:rsid w:val="09E93BE8"/>
    <w:rsid w:val="0A64401E"/>
    <w:rsid w:val="0BBC0D77"/>
    <w:rsid w:val="0C8F4D68"/>
    <w:rsid w:val="0DA00A70"/>
    <w:rsid w:val="0DAF1315"/>
    <w:rsid w:val="0E6D13D7"/>
    <w:rsid w:val="0E775DFB"/>
    <w:rsid w:val="0EF044E3"/>
    <w:rsid w:val="0FCD385F"/>
    <w:rsid w:val="0FD72804"/>
    <w:rsid w:val="10284FDF"/>
    <w:rsid w:val="12F43A1F"/>
    <w:rsid w:val="12FF5C75"/>
    <w:rsid w:val="153739C0"/>
    <w:rsid w:val="15950261"/>
    <w:rsid w:val="15B7125A"/>
    <w:rsid w:val="160330EF"/>
    <w:rsid w:val="166B34E8"/>
    <w:rsid w:val="166C015C"/>
    <w:rsid w:val="16866C6D"/>
    <w:rsid w:val="173713EE"/>
    <w:rsid w:val="180C2751"/>
    <w:rsid w:val="185E1873"/>
    <w:rsid w:val="191C0227"/>
    <w:rsid w:val="19A23FD3"/>
    <w:rsid w:val="1A1F287F"/>
    <w:rsid w:val="1A6A5894"/>
    <w:rsid w:val="1B393921"/>
    <w:rsid w:val="1C4C60CE"/>
    <w:rsid w:val="1CC63BCC"/>
    <w:rsid w:val="1D56619E"/>
    <w:rsid w:val="1D6C41C2"/>
    <w:rsid w:val="1DEC221F"/>
    <w:rsid w:val="1F052EE7"/>
    <w:rsid w:val="1F9E4382"/>
    <w:rsid w:val="204A46B8"/>
    <w:rsid w:val="20715A30"/>
    <w:rsid w:val="21993FD7"/>
    <w:rsid w:val="22380CF4"/>
    <w:rsid w:val="228E31EF"/>
    <w:rsid w:val="24203A3A"/>
    <w:rsid w:val="25EC0C06"/>
    <w:rsid w:val="268711D2"/>
    <w:rsid w:val="26B36618"/>
    <w:rsid w:val="272C379E"/>
    <w:rsid w:val="28112E35"/>
    <w:rsid w:val="29244044"/>
    <w:rsid w:val="29C3481C"/>
    <w:rsid w:val="2A533E72"/>
    <w:rsid w:val="2B7D7CF2"/>
    <w:rsid w:val="2D07779E"/>
    <w:rsid w:val="2EDB38F1"/>
    <w:rsid w:val="2F930508"/>
    <w:rsid w:val="2FC41618"/>
    <w:rsid w:val="32775CBF"/>
    <w:rsid w:val="329B54A8"/>
    <w:rsid w:val="32EE540A"/>
    <w:rsid w:val="345E447C"/>
    <w:rsid w:val="3480628D"/>
    <w:rsid w:val="358B3AE5"/>
    <w:rsid w:val="36B21076"/>
    <w:rsid w:val="36F30A3B"/>
    <w:rsid w:val="37D11170"/>
    <w:rsid w:val="383529AA"/>
    <w:rsid w:val="39871A87"/>
    <w:rsid w:val="39AF192D"/>
    <w:rsid w:val="39B66A2B"/>
    <w:rsid w:val="3AC33E57"/>
    <w:rsid w:val="3AF200A8"/>
    <w:rsid w:val="3B4958D4"/>
    <w:rsid w:val="3BF31305"/>
    <w:rsid w:val="3C604FDE"/>
    <w:rsid w:val="3D086DC1"/>
    <w:rsid w:val="3E854E75"/>
    <w:rsid w:val="3EFE46E8"/>
    <w:rsid w:val="429E0BC7"/>
    <w:rsid w:val="42DF4368"/>
    <w:rsid w:val="43F73EA3"/>
    <w:rsid w:val="444C132D"/>
    <w:rsid w:val="45230EA0"/>
    <w:rsid w:val="471C3C21"/>
    <w:rsid w:val="472233EE"/>
    <w:rsid w:val="479D4E4C"/>
    <w:rsid w:val="48772188"/>
    <w:rsid w:val="490D0349"/>
    <w:rsid w:val="492731AC"/>
    <w:rsid w:val="49A04857"/>
    <w:rsid w:val="4A04303B"/>
    <w:rsid w:val="4BF76D13"/>
    <w:rsid w:val="4DB402BC"/>
    <w:rsid w:val="4E4E596B"/>
    <w:rsid w:val="4F2B7D3D"/>
    <w:rsid w:val="4F4A0DB4"/>
    <w:rsid w:val="51D33C70"/>
    <w:rsid w:val="534E6BD3"/>
    <w:rsid w:val="535376B2"/>
    <w:rsid w:val="54094819"/>
    <w:rsid w:val="548D696C"/>
    <w:rsid w:val="549E6AC5"/>
    <w:rsid w:val="54CF64A3"/>
    <w:rsid w:val="55DE7BD8"/>
    <w:rsid w:val="56C35643"/>
    <w:rsid w:val="56E7066A"/>
    <w:rsid w:val="574F48BB"/>
    <w:rsid w:val="592533E8"/>
    <w:rsid w:val="594A0053"/>
    <w:rsid w:val="594B7BDB"/>
    <w:rsid w:val="5A003247"/>
    <w:rsid w:val="5B343EB6"/>
    <w:rsid w:val="5C644F8F"/>
    <w:rsid w:val="5EEB2C9F"/>
    <w:rsid w:val="5FD32639"/>
    <w:rsid w:val="606D339C"/>
    <w:rsid w:val="619327E6"/>
    <w:rsid w:val="62781473"/>
    <w:rsid w:val="62E07495"/>
    <w:rsid w:val="642C2B58"/>
    <w:rsid w:val="64AA7528"/>
    <w:rsid w:val="66613F23"/>
    <w:rsid w:val="66DE69DF"/>
    <w:rsid w:val="67A45AC5"/>
    <w:rsid w:val="689F104F"/>
    <w:rsid w:val="69365338"/>
    <w:rsid w:val="697F5EBD"/>
    <w:rsid w:val="6B1A7914"/>
    <w:rsid w:val="6BB13746"/>
    <w:rsid w:val="6C1C0317"/>
    <w:rsid w:val="6D492D3B"/>
    <w:rsid w:val="6E0F4D4A"/>
    <w:rsid w:val="6E2676AA"/>
    <w:rsid w:val="6F020711"/>
    <w:rsid w:val="6F653483"/>
    <w:rsid w:val="6FD0667E"/>
    <w:rsid w:val="704F0C25"/>
    <w:rsid w:val="70C36695"/>
    <w:rsid w:val="71226247"/>
    <w:rsid w:val="71916002"/>
    <w:rsid w:val="71AF1908"/>
    <w:rsid w:val="72C00C8D"/>
    <w:rsid w:val="73C97848"/>
    <w:rsid w:val="764E139E"/>
    <w:rsid w:val="76FF3D78"/>
    <w:rsid w:val="780EE4E7"/>
    <w:rsid w:val="787241CE"/>
    <w:rsid w:val="78D2097F"/>
    <w:rsid w:val="798C510E"/>
    <w:rsid w:val="7ABF3481"/>
    <w:rsid w:val="7BC04D14"/>
    <w:rsid w:val="7BEFE96D"/>
    <w:rsid w:val="7C233D20"/>
    <w:rsid w:val="7CDF6108"/>
    <w:rsid w:val="7DCE0593"/>
    <w:rsid w:val="7DE35E34"/>
    <w:rsid w:val="7E741BE5"/>
    <w:rsid w:val="7E776240"/>
    <w:rsid w:val="7FDF9340"/>
    <w:rsid w:val="A9972307"/>
    <w:rsid w:val="EFDAC91F"/>
    <w:rsid w:val="FBFF8C8C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uiCompat97To2003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semiHidden="0" w:name="Default Paragraph Font"/>
    <w:lsdException w:qFormat="1" w:unhideWhenUsed="0" w:uiPriority="0" w:semiHidden="0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semiHidden="0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semiHidden="0" w:name="Balloon Text"/>
    <w:lsdException w:qFormat="1"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2"/>
      <w:lang w:val="en-US" w:eastAsia="zh-CN" w:bidi="ar-SA"/>
    </w:rPr>
  </w:style>
  <w:style w:type="character" w:default="1" w:styleId="9">
    <w:name w:val="Default Paragraph Font"/>
    <w:unhideWhenUsed/>
    <w:qFormat/>
    <w:uiPriority w:val="1"/>
  </w:style>
  <w:style w:type="table" w:default="1" w:styleId="7">
    <w:name w:val="Normal Table"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qFormat/>
    <w:uiPriority w:val="0"/>
    <w:pPr>
      <w:spacing w:after="120"/>
    </w:pPr>
  </w:style>
  <w:style w:type="paragraph" w:styleId="3">
    <w:name w:val="Balloon Text"/>
    <w:basedOn w:val="1"/>
    <w:link w:val="10"/>
    <w:unhideWhenUsed/>
    <w:qFormat/>
    <w:uiPriority w:val="99"/>
    <w:rPr>
      <w:sz w:val="18"/>
      <w:szCs w:val="18"/>
    </w:rPr>
  </w:style>
  <w:style w:type="paragraph" w:styleId="4">
    <w:name w:val="footer"/>
    <w:basedOn w:val="1"/>
    <w:link w:val="11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link w:val="12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6">
    <w:name w:val="Normal (Web)"/>
    <w:basedOn w:val="1"/>
    <w:unhideWhenUsed/>
    <w:qFormat/>
    <w:uiPriority w:val="99"/>
    <w:pPr>
      <w:spacing w:before="100" w:beforeAutospacing="1" w:after="100" w:afterAutospacing="1"/>
      <w:ind w:left="0" w:right="0"/>
      <w:jc w:val="left"/>
    </w:pPr>
    <w:rPr>
      <w:kern w:val="0"/>
      <w:sz w:val="24"/>
      <w:lang w:val="en-US" w:eastAsia="zh-CN" w:bidi="ar"/>
    </w:rPr>
  </w:style>
  <w:style w:type="table" w:styleId="8">
    <w:name w:val="Table Grid"/>
    <w:basedOn w:val="7"/>
    <w:qFormat/>
    <w:uiPriority w:val="59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10">
    <w:name w:val="批注框文本 Char"/>
    <w:basedOn w:val="9"/>
    <w:link w:val="3"/>
    <w:semiHidden/>
    <w:qFormat/>
    <w:uiPriority w:val="99"/>
    <w:rPr>
      <w:kern w:val="2"/>
      <w:sz w:val="18"/>
      <w:szCs w:val="18"/>
    </w:rPr>
  </w:style>
  <w:style w:type="character" w:customStyle="1" w:styleId="11">
    <w:name w:val="页脚 Char"/>
    <w:link w:val="4"/>
    <w:qFormat/>
    <w:uiPriority w:val="99"/>
    <w:rPr>
      <w:kern w:val="2"/>
      <w:sz w:val="18"/>
      <w:szCs w:val="18"/>
    </w:rPr>
  </w:style>
  <w:style w:type="character" w:customStyle="1" w:styleId="12">
    <w:name w:val="页眉 Char"/>
    <w:link w:val="5"/>
    <w:qFormat/>
    <w:uiPriority w:val="99"/>
    <w:rPr>
      <w:kern w:val="2"/>
      <w:sz w:val="18"/>
      <w:szCs w:val="18"/>
    </w:rPr>
  </w:style>
  <w:style w:type="paragraph" w:customStyle="1" w:styleId="13">
    <w:name w:val="正文_0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paragraph" w:customStyle="1" w:styleId="14">
    <w:name w:val="p0"/>
    <w:basedOn w:val="1"/>
    <w:qFormat/>
    <w:uiPriority w:val="0"/>
    <w:rPr>
      <w:rFonts w:ascii="Times New Roman" w:hAnsi="Times New Roman" w:cs="Times New Roman"/>
      <w:sz w:val="20"/>
      <w:szCs w:val="20"/>
    </w:rPr>
  </w:style>
  <w:style w:type="paragraph" w:customStyle="1" w:styleId="15">
    <w:name w:val="段落文字"/>
    <w:basedOn w:val="14"/>
    <w:qFormat/>
    <w:uiPriority w:val="0"/>
    <w:pPr>
      <w:spacing w:line="400" w:lineRule="exact"/>
      <w:ind w:firstLine="964" w:firstLineChars="200"/>
      <w:jc w:val="both"/>
    </w:pPr>
    <w:rPr>
      <w:rFonts w:eastAsia="宋体"/>
      <w:sz w:val="24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Microsoft</Company>
  <Pages>3</Pages>
  <Words>710</Words>
  <Characters>799</Characters>
  <Lines>10</Lines>
  <Paragraphs>2</Paragraphs>
  <TotalTime>0</TotalTime>
  <ScaleCrop>false</ScaleCrop>
  <LinksUpToDate>false</LinksUpToDate>
  <CharactersWithSpaces>800</CharactersWithSpaces>
  <Application>WPS Office_12.1.0.20784_F1E327BC-269C-435d-A152-05C5408002CA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2021-07-01T13:17:00Z</dcterms:created>
  <dc:creator>管理员</dc:creator>
  <cp:lastModifiedBy>岷山</cp:lastModifiedBy>
  <cp:lastPrinted>2025-05-16T10:46:00Z</cp:lastPrinted>
  <dcterms:modified xsi:type="dcterms:W3CDTF">2025-06-23T09:47:04Z</dcterms:modified>
  <dc:title>附件5</dc:title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2052-12.1.0.20784</vt:lpwstr>
  </property>
  <property fmtid="{D5CDD505-2E9C-101B-9397-08002B2CF9AE}" pid="3" name="ICV">
    <vt:lpwstr>05E5E28837E69D52EEA62668E2EA27D2_43</vt:lpwstr>
  </property>
  <property fmtid="{D5CDD505-2E9C-101B-9397-08002B2CF9AE}" pid="4" name="KSOTemplateDocerSaveRecord">
    <vt:lpwstr>eyJoZGlkIjoiN2YzNjBkOTgyNWQ1YTMxYzM3MzMwNWFiODNmOWIzYWMiLCJ1c2VySWQiOiIyMTIyMzA3NjAifQ==</vt:lpwstr>
  </property>
</Properties>
</file>