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eastAsia" w:ascii="Times New Roman" w:hAnsi="Times New Roman" w:eastAsia="方正小标宋_GBK" w:cs="Times New Roman"/>
          <w:bCs/>
          <w:color w:val="0C0C0C"/>
          <w:w w:val="90"/>
          <w:kern w:val="0"/>
          <w:sz w:val="44"/>
          <w:szCs w:val="44"/>
          <w:shd w:val="clear" w:color="auto" w:fill="FFFFFF"/>
          <w:lang w:val="en-US" w:eastAsia="zh-CN" w:bidi="ar"/>
        </w:rPr>
      </w:pPr>
      <w:r>
        <w:rPr>
          <w:rFonts w:hint="eastAsia" w:ascii="Times New Roman" w:hAnsi="Times New Roman" w:eastAsia="方正小标宋_GBK" w:cs="Times New Roman"/>
          <w:bCs/>
          <w:color w:val="0C0C0C"/>
          <w:w w:val="90"/>
          <w:kern w:val="0"/>
          <w:sz w:val="44"/>
          <w:szCs w:val="44"/>
          <w:shd w:val="clear" w:color="auto" w:fill="FFFFFF"/>
          <w:lang w:val="en-US" w:eastAsia="zh-CN" w:bidi="ar"/>
        </w:rPr>
        <w:t>广州市增城区第五次全国经济普查公报（第二号）</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outlineLvl w:val="9"/>
        <w:rPr>
          <w:rFonts w:hint="eastAsia" w:ascii="楷体_GB2312" w:hAnsi="楷体_GB2312" w:eastAsia="楷体_GB2312" w:cs="楷体_GB2312"/>
          <w:bCs/>
          <w:color w:val="0C0C0C"/>
          <w:kern w:val="0"/>
          <w:sz w:val="32"/>
          <w:szCs w:val="32"/>
          <w:shd w:val="clear" w:color="auto" w:fill="FFFFFF"/>
          <w:lang w:val="en-US" w:eastAsia="zh-CN" w:bidi="ar"/>
        </w:rPr>
      </w:pPr>
      <w:r>
        <w:rPr>
          <w:rFonts w:hint="eastAsia" w:ascii="楷体_GB2312" w:hAnsi="楷体_GB2312" w:eastAsia="楷体_GB2312" w:cs="楷体_GB2312"/>
          <w:bCs/>
          <w:color w:val="0C0C0C"/>
          <w:kern w:val="0"/>
          <w:sz w:val="32"/>
          <w:szCs w:val="32"/>
          <w:shd w:val="clear" w:color="auto" w:fill="FFFFFF"/>
          <w:lang w:val="en-US" w:eastAsia="zh-CN" w:bidi="ar"/>
        </w:rPr>
        <w:t>——单位基本情况</w:t>
      </w:r>
    </w:p>
    <w:p>
      <w:pPr>
        <w:pStyle w:val="2"/>
        <w:keepNext w:val="0"/>
        <w:keepLines w:val="0"/>
        <w:pageBreakBefore w:val="0"/>
        <w:wordWrap/>
        <w:overflowPunct/>
        <w:topLinePunct w:val="0"/>
        <w:bidi w:val="0"/>
        <w:spacing w:line="560" w:lineRule="exact"/>
        <w:ind w:left="0" w:leftChars="0" w:right="0" w:rightChars="0"/>
        <w:jc w:val="center"/>
        <w:outlineLvl w:val="9"/>
        <w:rPr>
          <w:rFonts w:hint="default"/>
          <w:lang w:val="en-US" w:eastAsia="zh-CN"/>
        </w:rPr>
      </w:pPr>
    </w:p>
    <w:p>
      <w:pPr>
        <w:keepNext w:val="0"/>
        <w:keepLines w:val="0"/>
        <w:pageBreakBefore w:val="0"/>
        <w:widowControl w:val="0"/>
        <w:kinsoku/>
        <w:wordWrap/>
        <w:overflowPunct/>
        <w:topLinePunct w:val="0"/>
        <w:autoSpaceDE/>
        <w:autoSpaceDN/>
        <w:bidi w:val="0"/>
        <w:adjustRightInd w:val="0"/>
        <w:snapToGrid w:val="0"/>
        <w:spacing w:afterAutospacing="0" w:line="560" w:lineRule="exact"/>
        <w:ind w:left="0" w:leftChars="0" w:right="0" w:rightChars="0" w:firstLine="0" w:firstLineChars="0"/>
        <w:jc w:val="center"/>
        <w:textAlignment w:val="auto"/>
        <w:outlineLvl w:val="9"/>
        <w:rPr>
          <w:rFonts w:hint="eastAsia" w:ascii="Times New Roman" w:hAnsi="Times New Roman" w:eastAsia="方正楷体_GBK" w:cs="方正楷体_GBK"/>
          <w:color w:val="0C0C0C"/>
          <w:kern w:val="2"/>
          <w:sz w:val="32"/>
          <w:szCs w:val="32"/>
          <w:lang w:val="en-US" w:eastAsia="zh-CN" w:bidi="ar-SA"/>
        </w:rPr>
      </w:pPr>
      <w:r>
        <w:rPr>
          <w:rFonts w:hint="eastAsia" w:ascii="Times New Roman" w:hAnsi="Times New Roman" w:eastAsia="方正楷体_GBK" w:cs="方正楷体_GBK"/>
          <w:color w:val="0C0C0C"/>
          <w:kern w:val="2"/>
          <w:sz w:val="32"/>
          <w:szCs w:val="32"/>
          <w:lang w:val="en-US" w:eastAsia="zh-CN" w:bidi="ar-SA"/>
        </w:rPr>
        <w:t>广州市增城区统计局</w:t>
      </w:r>
    </w:p>
    <w:p>
      <w:pPr>
        <w:keepNext w:val="0"/>
        <w:keepLines w:val="0"/>
        <w:pageBreakBefore w:val="0"/>
        <w:widowControl w:val="0"/>
        <w:kinsoku/>
        <w:wordWrap/>
        <w:overflowPunct/>
        <w:topLinePunct w:val="0"/>
        <w:autoSpaceDE/>
        <w:autoSpaceDN/>
        <w:bidi w:val="0"/>
        <w:adjustRightInd w:val="0"/>
        <w:snapToGrid w:val="0"/>
        <w:spacing w:afterAutospacing="0" w:line="560" w:lineRule="exact"/>
        <w:ind w:left="0" w:leftChars="0" w:right="0" w:rightChars="0" w:firstLine="0" w:firstLineChars="0"/>
        <w:jc w:val="center"/>
        <w:textAlignment w:val="auto"/>
        <w:outlineLvl w:val="9"/>
        <w:rPr>
          <w:rFonts w:hint="eastAsia" w:ascii="Times New Roman" w:hAnsi="Times New Roman" w:eastAsia="方正楷体_GBK" w:cs="方正楷体_GBK"/>
          <w:color w:val="0C0C0C"/>
          <w:kern w:val="2"/>
          <w:sz w:val="32"/>
          <w:szCs w:val="32"/>
          <w:lang w:val="en-US" w:eastAsia="zh-CN" w:bidi="ar-SA"/>
        </w:rPr>
      </w:pPr>
      <w:r>
        <w:rPr>
          <w:rFonts w:hint="eastAsia" w:ascii="Times New Roman" w:hAnsi="Times New Roman" w:eastAsia="方正楷体_GBK" w:cs="方正楷体_GBK"/>
          <w:color w:val="0C0C0C"/>
          <w:kern w:val="2"/>
          <w:sz w:val="32"/>
          <w:szCs w:val="32"/>
          <w:lang w:val="en-US" w:eastAsia="zh-CN" w:bidi="ar-SA"/>
        </w:rPr>
        <w:t>广州市增城区第五次全国经济普查领导小组办公室</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baseline"/>
        <w:outlineLvl w:val="9"/>
        <w:rPr>
          <w:rFonts w:hint="eastAsia" w:ascii="Times New Roman" w:hAnsi="Times New Roman" w:eastAsia="仿宋_GB2312" w:cs="仿宋_GB2312"/>
          <w:color w:val="0C0C0C"/>
          <w:sz w:val="32"/>
          <w:szCs w:val="32"/>
          <w:lang w:val="en-US" w:eastAsia="zh-CN"/>
        </w:rPr>
      </w:pPr>
      <w:r>
        <w:rPr>
          <w:rFonts w:hint="eastAsia" w:ascii="Times New Roman" w:hAnsi="Times New Roman" w:eastAsia="方正楷体_GBK" w:cs="方正楷体_GBK"/>
          <w:color w:val="0C0C0C"/>
          <w:kern w:val="2"/>
          <w:sz w:val="32"/>
          <w:szCs w:val="32"/>
          <w:lang w:val="en-US" w:eastAsia="zh-CN" w:bidi="ar-SA"/>
        </w:rPr>
        <w:t>（2025年8月12 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640" w:firstLineChars="200"/>
        <w:textAlignment w:val="baseline"/>
        <w:outlineLvl w:val="9"/>
        <w:rPr>
          <w:rFonts w:hint="eastAsia" w:ascii="Times New Roman" w:hAnsi="Times New Roman" w:eastAsia="仿宋_GB2312" w:cs="仿宋_GB2312"/>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根据第五次全国经济普查结果，现将我</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lang w:eastAsia="zh-CN"/>
        </w:rPr>
        <w:t>第二产业和第三产业单位情况、从业人员、资产负债状况和营业收入公布如下：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一、单位情况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Times New Roman" w:hAnsi="Times New Roman" w:eastAsia="仿宋_GB2312" w:cs="仿宋_GB2312"/>
          <w:sz w:val="32"/>
          <w:szCs w:val="32"/>
          <w:lang w:eastAsia="zh-CN"/>
        </w:rPr>
      </w:pPr>
      <w:r>
        <w:rPr>
          <w:rFonts w:hint="eastAsia" w:ascii="Times New Roman" w:hAnsi="Times New Roman" w:eastAsia="方正楷体_GBK" w:cs="方正楷体_GBK"/>
          <w:snapToGrid w:val="0"/>
          <w:color w:val="0C0C0C"/>
          <w:kern w:val="2"/>
          <w:sz w:val="32"/>
          <w:szCs w:val="32"/>
          <w:lang w:val="en-US" w:eastAsia="zh-CN" w:bidi="ar-SA"/>
        </w:rPr>
        <w:t>2023</w:t>
      </w:r>
      <w:r>
        <w:rPr>
          <w:rFonts w:hint="eastAsia" w:ascii="Times New Roman" w:hAnsi="Times New Roman" w:eastAsia="仿宋_GB2312" w:cs="仿宋_GB2312"/>
          <w:sz w:val="32"/>
          <w:szCs w:val="32"/>
          <w:lang w:eastAsia="zh-CN"/>
        </w:rPr>
        <w:t>年末，全</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lang w:eastAsia="zh-CN"/>
        </w:rPr>
        <w:t>共有从事第二产业和第三产业活动的法人单位</w:t>
      </w:r>
      <w:r>
        <w:rPr>
          <w:rFonts w:hint="eastAsia" w:ascii="Times New Roman" w:hAnsi="Times New Roman" w:eastAsia="方正楷体_GBK" w:cs="方正楷体_GBK"/>
          <w:snapToGrid w:val="0"/>
          <w:color w:val="0C0C0C"/>
          <w:kern w:val="2"/>
          <w:sz w:val="32"/>
          <w:szCs w:val="32"/>
          <w:lang w:val="en-US" w:eastAsia="zh-CN" w:bidi="ar-SA"/>
        </w:rPr>
        <w:t>65278</w:t>
      </w:r>
      <w:r>
        <w:rPr>
          <w:rFonts w:hint="eastAsia" w:ascii="Times New Roman" w:hAnsi="Times New Roman" w:eastAsia="仿宋_GB2312" w:cs="仿宋_GB2312"/>
          <w:sz w:val="32"/>
          <w:szCs w:val="32"/>
          <w:lang w:eastAsia="zh-CN"/>
        </w:rPr>
        <w:t>个，比</w:t>
      </w:r>
      <w:r>
        <w:rPr>
          <w:rFonts w:hint="eastAsia" w:ascii="Times New Roman" w:hAnsi="Times New Roman" w:eastAsia="方正楷体_GBK" w:cs="方正楷体_GBK"/>
          <w:snapToGrid w:val="0"/>
          <w:color w:val="0C0C0C"/>
          <w:kern w:val="2"/>
          <w:sz w:val="32"/>
          <w:szCs w:val="32"/>
          <w:lang w:val="en-US" w:eastAsia="zh-CN" w:bidi="ar-SA"/>
        </w:rPr>
        <w:t>2018</w:t>
      </w:r>
      <w:r>
        <w:rPr>
          <w:rFonts w:hint="eastAsia" w:ascii="Times New Roman" w:hAnsi="Times New Roman" w:eastAsia="仿宋_GB2312" w:cs="仿宋_GB2312"/>
          <w:sz w:val="32"/>
          <w:szCs w:val="32"/>
          <w:lang w:eastAsia="zh-CN"/>
        </w:rPr>
        <w:t>年末增加</w:t>
      </w:r>
      <w:r>
        <w:rPr>
          <w:rFonts w:hint="eastAsia" w:ascii="Times New Roman" w:hAnsi="Times New Roman" w:eastAsia="方正楷体_GBK" w:cs="方正楷体_GBK"/>
          <w:snapToGrid w:val="0"/>
          <w:color w:val="0C0C0C"/>
          <w:kern w:val="2"/>
          <w:sz w:val="32"/>
          <w:szCs w:val="32"/>
          <w:lang w:val="en-US" w:eastAsia="zh-CN" w:bidi="ar-SA"/>
        </w:rPr>
        <w:t>28906</w:t>
      </w:r>
      <w:r>
        <w:rPr>
          <w:rFonts w:hint="eastAsia" w:ascii="Times New Roman" w:hAnsi="Times New Roman" w:eastAsia="仿宋_GB2312" w:cs="仿宋_GB2312"/>
          <w:sz w:val="32"/>
          <w:szCs w:val="32"/>
          <w:lang w:eastAsia="zh-CN"/>
        </w:rPr>
        <w:t>个，增长</w:t>
      </w:r>
      <w:r>
        <w:rPr>
          <w:rFonts w:hint="eastAsia" w:ascii="Times New Roman" w:hAnsi="Times New Roman" w:eastAsia="方正楷体_GBK" w:cs="方正楷体_GBK"/>
          <w:snapToGrid w:val="0"/>
          <w:color w:val="0C0C0C"/>
          <w:kern w:val="2"/>
          <w:sz w:val="32"/>
          <w:szCs w:val="32"/>
          <w:lang w:val="en-US" w:eastAsia="zh-CN" w:bidi="ar-SA"/>
        </w:rPr>
        <w:t>79.5%</w:t>
      </w:r>
      <w:r>
        <w:rPr>
          <w:rFonts w:hint="eastAsia" w:ascii="Times New Roman" w:hAnsi="Times New Roman" w:eastAsia="仿宋_GB2312" w:cs="仿宋_GB2312"/>
          <w:sz w:val="32"/>
          <w:szCs w:val="32"/>
          <w:lang w:eastAsia="zh-CN"/>
        </w:rPr>
        <w:t>；产业活动单位</w:t>
      </w:r>
      <w:r>
        <w:rPr>
          <w:rStyle w:val="10"/>
          <w:rFonts w:hint="eastAsia" w:ascii="Times New Roman" w:hAnsi="Times New Roman" w:eastAsia="仿宋_GB2312" w:cs="仿宋_GB2312"/>
          <w:kern w:val="0"/>
          <w:sz w:val="32"/>
          <w:szCs w:val="32"/>
          <w:lang w:val="en-US" w:eastAsia="zh-CN" w:bidi="ar"/>
        </w:rPr>
        <w:footnoteReference w:id="0"/>
      </w:r>
      <w:r>
        <w:rPr>
          <w:rFonts w:hint="eastAsia" w:ascii="Times New Roman" w:hAnsi="Times New Roman" w:eastAsia="方正楷体_GBK" w:cs="方正楷体_GBK"/>
          <w:snapToGrid w:val="0"/>
          <w:color w:val="0C0C0C"/>
          <w:kern w:val="2"/>
          <w:sz w:val="32"/>
          <w:szCs w:val="32"/>
          <w:lang w:val="en-US" w:eastAsia="zh-CN" w:bidi="ar-SA"/>
        </w:rPr>
        <w:t>68490</w:t>
      </w:r>
      <w:r>
        <w:rPr>
          <w:rFonts w:hint="eastAsia" w:ascii="Times New Roman" w:hAnsi="Times New Roman" w:eastAsia="仿宋_GB2312" w:cs="仿宋_GB2312"/>
          <w:sz w:val="32"/>
          <w:szCs w:val="32"/>
          <w:lang w:eastAsia="zh-CN"/>
        </w:rPr>
        <w:t>个，增加</w:t>
      </w:r>
      <w:r>
        <w:rPr>
          <w:rFonts w:hint="eastAsia" w:ascii="Times New Roman" w:hAnsi="Times New Roman" w:eastAsia="方正楷体_GBK" w:cs="方正楷体_GBK"/>
          <w:snapToGrid w:val="0"/>
          <w:color w:val="0C0C0C"/>
          <w:kern w:val="2"/>
          <w:sz w:val="32"/>
          <w:szCs w:val="32"/>
          <w:lang w:val="en-US" w:eastAsia="zh-CN" w:bidi="ar-SA"/>
        </w:rPr>
        <w:t>2947</w:t>
      </w:r>
      <w:bookmarkStart w:id="0" w:name="_GoBack"/>
      <w:bookmarkEnd w:id="0"/>
      <w:r>
        <w:rPr>
          <w:rFonts w:hint="eastAsia" w:ascii="Times New Roman" w:hAnsi="Times New Roman" w:eastAsia="方正楷体_GBK" w:cs="方正楷体_GBK"/>
          <w:snapToGrid w:val="0"/>
          <w:color w:val="0C0C0C"/>
          <w:kern w:val="2"/>
          <w:sz w:val="32"/>
          <w:szCs w:val="32"/>
          <w:lang w:val="en-US" w:eastAsia="zh-CN" w:bidi="ar-SA"/>
        </w:rPr>
        <w:t>4</w:t>
      </w:r>
      <w:r>
        <w:rPr>
          <w:rFonts w:hint="eastAsia" w:ascii="Times New Roman" w:hAnsi="Times New Roman" w:eastAsia="仿宋_GB2312" w:cs="仿宋_GB2312"/>
          <w:sz w:val="32"/>
          <w:szCs w:val="32"/>
          <w:lang w:eastAsia="zh-CN"/>
        </w:rPr>
        <w:t>个，增长</w:t>
      </w:r>
      <w:r>
        <w:rPr>
          <w:rFonts w:hint="eastAsia" w:ascii="Times New Roman" w:hAnsi="Times New Roman" w:eastAsia="方正楷体_GBK" w:cs="方正楷体_GBK"/>
          <w:snapToGrid w:val="0"/>
          <w:color w:val="0C0C0C"/>
          <w:kern w:val="2"/>
          <w:sz w:val="32"/>
          <w:szCs w:val="32"/>
          <w:lang w:val="en-US" w:eastAsia="zh-CN" w:bidi="ar-SA"/>
        </w:rPr>
        <w:t>75.5%</w:t>
      </w:r>
      <w:r>
        <w:rPr>
          <w:rFonts w:hint="eastAsia" w:ascii="Times New Roman" w:hAnsi="Times New Roman" w:eastAsia="仿宋_GB2312" w:cs="仿宋_GB2312"/>
          <w:sz w:val="32"/>
          <w:szCs w:val="32"/>
          <w:lang w:eastAsia="zh-CN"/>
        </w:rPr>
        <w:t>；个体经营户</w:t>
      </w:r>
      <w:r>
        <w:rPr>
          <w:rFonts w:hint="eastAsia" w:ascii="Times New Roman" w:hAnsi="Times New Roman" w:eastAsia="方正楷体_GBK" w:cs="方正楷体_GBK"/>
          <w:snapToGrid w:val="0"/>
          <w:color w:val="0C0C0C"/>
          <w:kern w:val="2"/>
          <w:sz w:val="32"/>
          <w:szCs w:val="32"/>
          <w:lang w:val="en-US" w:eastAsia="zh-CN" w:bidi="ar-SA"/>
        </w:rPr>
        <w:t>94370</w:t>
      </w:r>
      <w:r>
        <w:rPr>
          <w:rFonts w:hint="eastAsia" w:ascii="Times New Roman" w:hAnsi="Times New Roman" w:eastAsia="仿宋_GB2312" w:cs="仿宋_GB2312"/>
          <w:sz w:val="32"/>
          <w:szCs w:val="32"/>
          <w:lang w:eastAsia="zh-CN"/>
        </w:rPr>
        <w:t>个，增加</w:t>
      </w:r>
      <w:r>
        <w:rPr>
          <w:rFonts w:hint="eastAsia" w:ascii="Times New Roman" w:hAnsi="Times New Roman" w:eastAsia="方正楷体_GBK" w:cs="方正楷体_GBK"/>
          <w:snapToGrid w:val="0"/>
          <w:color w:val="0C0C0C"/>
          <w:kern w:val="2"/>
          <w:sz w:val="32"/>
          <w:szCs w:val="32"/>
          <w:lang w:val="en-US" w:eastAsia="zh-CN" w:bidi="ar-SA"/>
        </w:rPr>
        <w:t>39578</w:t>
      </w:r>
      <w:r>
        <w:rPr>
          <w:rFonts w:hint="eastAsia" w:ascii="Times New Roman" w:hAnsi="Times New Roman" w:eastAsia="仿宋_GB2312" w:cs="仿宋_GB2312"/>
          <w:sz w:val="32"/>
          <w:szCs w:val="32"/>
          <w:lang w:eastAsia="zh-CN"/>
        </w:rPr>
        <w:t>个，增长</w:t>
      </w:r>
      <w:r>
        <w:rPr>
          <w:rFonts w:hint="eastAsia" w:ascii="Times New Roman" w:hAnsi="Times New Roman" w:eastAsia="方正楷体_GBK" w:cs="方正楷体_GBK"/>
          <w:snapToGrid w:val="0"/>
          <w:color w:val="0C0C0C"/>
          <w:kern w:val="2"/>
          <w:sz w:val="32"/>
          <w:szCs w:val="32"/>
          <w:lang w:val="en-US" w:eastAsia="zh-CN" w:bidi="ar-SA"/>
        </w:rPr>
        <w:t>72.2%</w:t>
      </w:r>
      <w:r>
        <w:rPr>
          <w:rFonts w:hint="eastAsia" w:ascii="Times New Roman" w:hAnsi="Times New Roman" w:eastAsia="仿宋_GB2312" w:cs="仿宋_GB2312"/>
          <w:sz w:val="32"/>
          <w:szCs w:val="32"/>
          <w:lang w:eastAsia="zh-CN"/>
        </w:rPr>
        <w:t>（详见表</w:t>
      </w:r>
      <w:r>
        <w:rPr>
          <w:rFonts w:hint="eastAsia" w:ascii="Times New Roman" w:hAnsi="Times New Roman" w:eastAsia="方正楷体_GBK" w:cs="方正楷体_GBK"/>
          <w:snapToGrid w:val="0"/>
          <w:color w:val="0C0C0C"/>
          <w:kern w:val="2"/>
          <w:sz w:val="32"/>
          <w:szCs w:val="32"/>
          <w:lang w:val="en-US" w:eastAsia="zh-CN" w:bidi="ar-SA"/>
        </w:rPr>
        <w:t>2-1</w:t>
      </w:r>
      <w:r>
        <w:rPr>
          <w:rFonts w:hint="eastAsia" w:ascii="Times New Roman" w:hAnsi="Times New Roman" w:eastAsia="仿宋_GB2312" w:cs="仿宋_GB2312"/>
          <w:sz w:val="32"/>
          <w:szCs w:val="3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600" w:lineRule="exact"/>
        <w:ind w:left="6" w:right="6" w:firstLine="0" w:firstLineChars="0"/>
        <w:jc w:val="center"/>
        <w:textAlignment w:val="auto"/>
        <w:rPr>
          <w:rFonts w:hint="eastAsia" w:ascii="Times New Roman" w:hAnsi="Times New Roman" w:eastAsiaTheme="minorEastAsia" w:cstheme="minorEastAsia"/>
          <w:b/>
          <w:i w:val="0"/>
          <w:caps w:val="0"/>
          <w:color w:val="0C0C0C"/>
          <w:spacing w:val="0"/>
          <w:kern w:val="0"/>
          <w:sz w:val="24"/>
          <w:szCs w:val="24"/>
          <w:highlight w:val="none"/>
          <w:lang w:val="en-US" w:eastAsia="zh-CN" w:bidi="ar"/>
        </w:rPr>
      </w:pPr>
      <w:r>
        <w:rPr>
          <w:rFonts w:hint="eastAsia" w:ascii="Times New Roman" w:hAnsi="Times New Roman" w:eastAsiaTheme="minorEastAsia" w:cstheme="minorEastAsia"/>
          <w:b/>
          <w:i w:val="0"/>
          <w:caps w:val="0"/>
          <w:color w:val="0C0C0C"/>
          <w:spacing w:val="0"/>
          <w:kern w:val="0"/>
          <w:sz w:val="24"/>
          <w:szCs w:val="24"/>
          <w:highlight w:val="none"/>
          <w:lang w:val="en-US" w:eastAsia="zh-CN" w:bidi="ar"/>
        </w:rPr>
        <w:t>表2-1　单位数与个体经营户数</w:t>
      </w:r>
    </w:p>
    <w:tbl>
      <w:tblPr>
        <w:tblStyle w:val="11"/>
        <w:tblW w:w="8835"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4810"/>
        <w:gridCol w:w="2026"/>
        <w:gridCol w:w="1999"/>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463" w:hRule="exact"/>
          <w:jc w:val="center"/>
        </w:trPr>
        <w:tc>
          <w:tcPr>
            <w:tcW w:w="4810"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Times New Roman" w:hAnsi="Times New Roman" w:eastAsiaTheme="minorEastAsia" w:cstheme="minorEastAsia"/>
                <w:color w:val="0C0C0C"/>
                <w:sz w:val="21"/>
                <w:szCs w:val="21"/>
                <w:highlight w:val="none"/>
              </w:rPr>
            </w:pPr>
          </w:p>
        </w:tc>
        <w:tc>
          <w:tcPr>
            <w:tcW w:w="2026"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单位数（个）</w:t>
            </w:r>
          </w:p>
        </w:tc>
        <w:tc>
          <w:tcPr>
            <w:tcW w:w="1999"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比重（%）</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b/>
                <w:color w:val="0C0C0C"/>
                <w:kern w:val="0"/>
                <w:sz w:val="21"/>
                <w:szCs w:val="21"/>
                <w:highlight w:val="none"/>
                <w:lang w:val="en-US" w:eastAsia="zh-CN" w:bidi="ar"/>
              </w:rPr>
              <w:t>一、法人单位</w:t>
            </w:r>
          </w:p>
        </w:tc>
        <w:tc>
          <w:tcPr>
            <w:tcW w:w="2026" w:type="dxa"/>
            <w:tcBorders>
              <w:top w:val="single" w:color="auto" w:sz="4" w:space="0"/>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b/>
                <w:bCs/>
                <w:color w:val="0C0C0C"/>
                <w:sz w:val="21"/>
                <w:szCs w:val="21"/>
                <w:highlight w:val="none"/>
                <w:lang w:val="en-US" w:eastAsia="zh-CN"/>
              </w:rPr>
            </w:pPr>
            <w:r>
              <w:rPr>
                <w:rFonts w:hint="eastAsia" w:ascii="Times New Roman" w:hAnsi="Times New Roman" w:eastAsiaTheme="minorEastAsia" w:cstheme="minorEastAsia"/>
                <w:b/>
                <w:bCs/>
                <w:color w:val="0C0C0C"/>
                <w:sz w:val="21"/>
                <w:szCs w:val="21"/>
                <w:highlight w:val="none"/>
                <w:lang w:val="en-US" w:eastAsia="zh-CN"/>
              </w:rPr>
              <w:t>65278</w:t>
            </w:r>
          </w:p>
        </w:tc>
        <w:tc>
          <w:tcPr>
            <w:tcW w:w="1999" w:type="dxa"/>
            <w:tcBorders>
              <w:top w:val="single" w:color="auto" w:sz="4" w:space="0"/>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b/>
                <w:bCs/>
                <w:color w:val="0C0C0C"/>
                <w:sz w:val="21"/>
                <w:szCs w:val="21"/>
                <w:highlight w:val="none"/>
                <w:lang w:val="en-US" w:eastAsia="zh-CN"/>
              </w:rPr>
            </w:pPr>
            <w:r>
              <w:rPr>
                <w:rFonts w:hint="eastAsia" w:ascii="Times New Roman" w:hAnsi="Times New Roman" w:eastAsiaTheme="minorEastAsia" w:cstheme="minorEastAsia"/>
                <w:b/>
                <w:bCs/>
                <w:color w:val="0C0C0C"/>
                <w:sz w:val="21"/>
                <w:szCs w:val="21"/>
                <w:highlight w:val="none"/>
                <w:lang w:val="en-US" w:eastAsia="zh-CN"/>
              </w:rPr>
              <w:t>100.0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　　企业法人</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59218</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90.7</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　　机关、事业法人</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666</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1.0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　　社会团体</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265</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0.4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其他法人</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5129</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7.9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firstLine="0" w:firstLineChars="0"/>
              <w:jc w:val="left"/>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b/>
                <w:color w:val="0C0C0C"/>
                <w:kern w:val="0"/>
                <w:sz w:val="21"/>
                <w:szCs w:val="21"/>
                <w:highlight w:val="none"/>
                <w:lang w:val="en-US" w:eastAsia="zh-CN" w:bidi="ar"/>
              </w:rPr>
              <w:t>二、产业活动单位</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b/>
                <w:bCs/>
                <w:color w:val="0C0C0C"/>
                <w:sz w:val="21"/>
                <w:szCs w:val="21"/>
                <w:highlight w:val="none"/>
                <w:lang w:val="en-US" w:eastAsia="zh-CN"/>
              </w:rPr>
            </w:pPr>
            <w:r>
              <w:rPr>
                <w:rFonts w:hint="eastAsia" w:ascii="Times New Roman" w:hAnsi="Times New Roman" w:eastAsiaTheme="minorEastAsia" w:cstheme="minorEastAsia"/>
                <w:b/>
                <w:bCs/>
                <w:color w:val="0C0C0C"/>
                <w:sz w:val="21"/>
                <w:szCs w:val="21"/>
                <w:highlight w:val="none"/>
                <w:lang w:val="en-US" w:eastAsia="zh-CN"/>
              </w:rPr>
              <w:t>68490</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b/>
                <w:bCs/>
                <w:color w:val="0C0C0C"/>
                <w:sz w:val="21"/>
                <w:szCs w:val="21"/>
                <w:highlight w:val="none"/>
                <w:lang w:val="en-US" w:eastAsia="zh-CN"/>
              </w:rPr>
            </w:pPr>
            <w:r>
              <w:rPr>
                <w:rFonts w:hint="eastAsia" w:ascii="Times New Roman" w:hAnsi="Times New Roman" w:eastAsiaTheme="minorEastAsia" w:cstheme="minorEastAsia"/>
                <w:b/>
                <w:bCs/>
                <w:color w:val="0C0C0C"/>
                <w:sz w:val="21"/>
                <w:szCs w:val="21"/>
                <w:highlight w:val="none"/>
                <w:lang w:val="en-US" w:eastAsia="zh-CN"/>
              </w:rPr>
              <w:t>100.0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420"/>
              <w:jc w:val="left"/>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第二产业</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13604</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19.9</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420"/>
              <w:jc w:val="left"/>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第三产业</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54886</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80.1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firstLine="0" w:firstLineChars="0"/>
              <w:jc w:val="left"/>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b/>
                <w:color w:val="0C0C0C"/>
                <w:kern w:val="0"/>
                <w:sz w:val="21"/>
                <w:szCs w:val="21"/>
                <w:highlight w:val="none"/>
                <w:lang w:val="en-US" w:eastAsia="zh-CN" w:bidi="ar"/>
              </w:rPr>
              <w:t>三、个体经营户</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b/>
                <w:bCs/>
                <w:snapToGrid w:val="0"/>
                <w:color w:val="0C0C0C"/>
                <w:kern w:val="2"/>
                <w:sz w:val="21"/>
                <w:szCs w:val="21"/>
                <w:highlight w:val="none"/>
                <w:vertAlign w:val="baseline"/>
                <w:lang w:val="en-US" w:eastAsia="zh-CN" w:bidi="ar-SA"/>
              </w:rPr>
            </w:pPr>
            <w:r>
              <w:rPr>
                <w:rFonts w:hint="eastAsia" w:ascii="Times New Roman" w:hAnsi="Times New Roman" w:eastAsiaTheme="minorEastAsia" w:cstheme="minorEastAsia"/>
                <w:b/>
                <w:bCs/>
                <w:snapToGrid w:val="0"/>
                <w:color w:val="0C0C0C"/>
                <w:kern w:val="2"/>
                <w:sz w:val="21"/>
                <w:szCs w:val="21"/>
                <w:highlight w:val="none"/>
                <w:vertAlign w:val="baseline"/>
                <w:lang w:val="en-US" w:eastAsia="zh-CN" w:bidi="ar-SA"/>
              </w:rPr>
              <w:t>94370</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b/>
                <w:bCs/>
                <w:snapToGrid w:val="0"/>
                <w:color w:val="0C0C0C"/>
                <w:kern w:val="2"/>
                <w:sz w:val="21"/>
                <w:szCs w:val="21"/>
                <w:highlight w:val="none"/>
                <w:vertAlign w:val="baseline"/>
                <w:lang w:val="en-US" w:eastAsia="zh-CN" w:bidi="ar-SA"/>
              </w:rPr>
            </w:pPr>
            <w:r>
              <w:rPr>
                <w:rFonts w:hint="eastAsia" w:ascii="Times New Roman" w:hAnsi="Times New Roman" w:eastAsiaTheme="minorEastAsia" w:cstheme="minorEastAsia"/>
                <w:b/>
                <w:bCs/>
                <w:snapToGrid w:val="0"/>
                <w:color w:val="0C0C0C"/>
                <w:kern w:val="2"/>
                <w:sz w:val="21"/>
                <w:szCs w:val="21"/>
                <w:highlight w:val="none"/>
                <w:vertAlign w:val="baseline"/>
                <w:lang w:val="en-US" w:eastAsia="zh-CN" w:bidi="ar-SA"/>
              </w:rPr>
              <w:t>100.0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420"/>
              <w:jc w:val="left"/>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第二产业</w:t>
            </w:r>
          </w:p>
        </w:tc>
        <w:tc>
          <w:tcPr>
            <w:tcW w:w="2026" w:type="dxa"/>
            <w:tcBorders>
              <w:top w:val="nil"/>
              <w:left w:val="single" w:color="auto" w:sz="4" w:space="0"/>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14292</w:t>
            </w:r>
          </w:p>
        </w:tc>
        <w:tc>
          <w:tcPr>
            <w:tcW w:w="1999" w:type="dxa"/>
            <w:tcBorders>
              <w:top w:val="nil"/>
              <w:left w:val="single" w:color="auto" w:sz="4" w:space="0"/>
              <w:bottom w:val="nil"/>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snapToGrid w:val="0"/>
                <w:color w:val="0C0C0C"/>
                <w:kern w:val="2"/>
                <w:sz w:val="21"/>
                <w:szCs w:val="21"/>
                <w:highlight w:val="none"/>
                <w:vertAlign w:val="baseline"/>
                <w:lang w:val="en-US" w:eastAsia="zh-CN" w:bidi="ar-SA"/>
              </w:rPr>
            </w:pPr>
            <w:r>
              <w:rPr>
                <w:rFonts w:hint="eastAsia" w:ascii="Times New Roman" w:hAnsi="Times New Roman" w:eastAsiaTheme="minorEastAsia" w:cstheme="minorEastAsia"/>
                <w:snapToGrid w:val="0"/>
                <w:color w:val="0C0C0C"/>
                <w:kern w:val="2"/>
                <w:sz w:val="21"/>
                <w:szCs w:val="21"/>
                <w:highlight w:val="none"/>
                <w:vertAlign w:val="baseline"/>
                <w:lang w:val="en-US" w:eastAsia="zh-CN" w:bidi="ar-SA"/>
              </w:rPr>
              <w:t>15.1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40" w:hRule="exact"/>
          <w:jc w:val="center"/>
        </w:trPr>
        <w:tc>
          <w:tcPr>
            <w:tcW w:w="4810"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420"/>
              <w:jc w:val="left"/>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第三产业</w:t>
            </w:r>
          </w:p>
        </w:tc>
        <w:tc>
          <w:tcPr>
            <w:tcW w:w="2026" w:type="dxa"/>
            <w:tcBorders>
              <w:top w:val="nil"/>
              <w:left w:val="single" w:color="auto" w:sz="4" w:space="0"/>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color w:val="0C0C0C"/>
                <w:sz w:val="21"/>
                <w:szCs w:val="21"/>
                <w:highlight w:val="none"/>
                <w:lang w:val="en-US" w:eastAsia="zh-CN"/>
              </w:rPr>
            </w:pPr>
            <w:r>
              <w:rPr>
                <w:rFonts w:hint="eastAsia" w:ascii="Times New Roman" w:hAnsi="Times New Roman" w:eastAsiaTheme="minorEastAsia" w:cstheme="minorEastAsia"/>
                <w:color w:val="0C0C0C"/>
                <w:sz w:val="21"/>
                <w:szCs w:val="21"/>
                <w:highlight w:val="none"/>
                <w:lang w:val="en-US" w:eastAsia="zh-CN"/>
              </w:rPr>
              <w:t>80078</w:t>
            </w:r>
          </w:p>
        </w:tc>
        <w:tc>
          <w:tcPr>
            <w:tcW w:w="1999" w:type="dxa"/>
            <w:tcBorders>
              <w:top w:val="nil"/>
              <w:left w:val="single" w:color="auto" w:sz="4" w:space="0"/>
              <w:bottom w:val="single" w:color="auto" w:sz="12"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jc w:val="right"/>
              <w:textAlignment w:val="auto"/>
              <w:rPr>
                <w:rFonts w:hint="eastAsia" w:ascii="Times New Roman" w:hAnsi="Times New Roman" w:eastAsiaTheme="minorEastAsia" w:cstheme="minorEastAsia"/>
                <w:snapToGrid w:val="0"/>
                <w:color w:val="0C0C0C"/>
                <w:kern w:val="2"/>
                <w:sz w:val="21"/>
                <w:szCs w:val="21"/>
                <w:highlight w:val="none"/>
                <w:vertAlign w:val="baseline"/>
                <w:lang w:val="en-US" w:eastAsia="zh-CN" w:bidi="ar-SA"/>
              </w:rPr>
            </w:pPr>
            <w:r>
              <w:rPr>
                <w:rFonts w:hint="eastAsia" w:ascii="Times New Roman" w:hAnsi="Times New Roman" w:eastAsiaTheme="minorEastAsia" w:cstheme="minorEastAsia"/>
                <w:snapToGrid w:val="0"/>
                <w:color w:val="0C0C0C"/>
                <w:kern w:val="2"/>
                <w:sz w:val="21"/>
                <w:szCs w:val="21"/>
                <w:highlight w:val="none"/>
                <w:vertAlign w:val="baseline"/>
                <w:lang w:val="en-US" w:eastAsia="zh-CN" w:bidi="ar-SA"/>
              </w:rPr>
              <w:t>84.9</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在第二产业和第三产业法人单位中，位居前三位的行业是：</w:t>
      </w:r>
      <w:r>
        <w:rPr>
          <w:rFonts w:hint="eastAsia" w:ascii="Times New Roman" w:hAnsi="Times New Roman" w:eastAsia="仿宋_GB2312" w:cs="仿宋_GB2312"/>
          <w:sz w:val="32"/>
          <w:szCs w:val="32"/>
          <w:lang w:val="en-US" w:eastAsia="zh-CN"/>
        </w:rPr>
        <w:t>批发和零售业</w:t>
      </w:r>
      <w:r>
        <w:rPr>
          <w:rFonts w:hint="eastAsia" w:ascii="Times New Roman" w:hAnsi="Times New Roman" w:eastAsia="方正楷体_GBK" w:cs="方正楷体_GBK"/>
          <w:snapToGrid w:val="0"/>
          <w:color w:val="0C0C0C"/>
          <w:kern w:val="2"/>
          <w:sz w:val="32"/>
          <w:szCs w:val="32"/>
          <w:lang w:val="en-US" w:eastAsia="zh-CN" w:bidi="ar-SA"/>
        </w:rPr>
        <w:t>21910</w:t>
      </w:r>
      <w:r>
        <w:rPr>
          <w:rFonts w:hint="eastAsia" w:ascii="Times New Roman" w:hAnsi="Times New Roman" w:eastAsia="仿宋_GB2312" w:cs="仿宋_GB2312"/>
          <w:sz w:val="32"/>
          <w:szCs w:val="32"/>
          <w:lang w:eastAsia="zh-CN"/>
        </w:rPr>
        <w:t>个，占</w:t>
      </w:r>
      <w:r>
        <w:rPr>
          <w:rFonts w:hint="eastAsia" w:ascii="Times New Roman" w:hAnsi="Times New Roman" w:eastAsia="方正楷体_GBK" w:cs="方正楷体_GBK"/>
          <w:snapToGrid w:val="0"/>
          <w:color w:val="0C0C0C"/>
          <w:kern w:val="2"/>
          <w:sz w:val="32"/>
          <w:szCs w:val="32"/>
          <w:lang w:val="en-US" w:eastAsia="zh-CN" w:bidi="ar-SA"/>
        </w:rPr>
        <w:t>33.6%</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租赁和商务服务业</w:t>
      </w:r>
      <w:r>
        <w:rPr>
          <w:rFonts w:hint="eastAsia" w:ascii="Times New Roman" w:hAnsi="Times New Roman" w:eastAsia="方正楷体_GBK" w:cs="方正楷体_GBK"/>
          <w:snapToGrid w:val="0"/>
          <w:color w:val="0C0C0C"/>
          <w:kern w:val="2"/>
          <w:sz w:val="32"/>
          <w:szCs w:val="32"/>
          <w:lang w:val="en-US" w:eastAsia="zh-CN" w:bidi="ar-SA"/>
        </w:rPr>
        <w:t>11043</w:t>
      </w:r>
      <w:r>
        <w:rPr>
          <w:rFonts w:hint="eastAsia" w:ascii="Times New Roman" w:hAnsi="Times New Roman" w:eastAsia="仿宋_GB2312" w:cs="仿宋_GB2312"/>
          <w:sz w:val="32"/>
          <w:szCs w:val="32"/>
          <w:lang w:eastAsia="zh-CN"/>
        </w:rPr>
        <w:t>个，占</w:t>
      </w:r>
      <w:r>
        <w:rPr>
          <w:rFonts w:hint="eastAsia" w:ascii="Times New Roman" w:hAnsi="Times New Roman" w:eastAsia="方正楷体_GBK" w:cs="方正楷体_GBK"/>
          <w:snapToGrid w:val="0"/>
          <w:color w:val="0C0C0C"/>
          <w:kern w:val="2"/>
          <w:sz w:val="32"/>
          <w:szCs w:val="32"/>
          <w:lang w:val="en-US" w:eastAsia="zh-CN" w:bidi="ar-SA"/>
        </w:rPr>
        <w:t>16.9%</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制造</w:t>
      </w:r>
      <w:r>
        <w:rPr>
          <w:rFonts w:hint="eastAsia" w:ascii="Times New Roman" w:hAnsi="Times New Roman" w:eastAsia="仿宋_GB2312" w:cs="仿宋_GB2312"/>
          <w:sz w:val="32"/>
          <w:szCs w:val="32"/>
          <w:lang w:eastAsia="zh-CN"/>
        </w:rPr>
        <w:t>业</w:t>
      </w:r>
      <w:r>
        <w:rPr>
          <w:rFonts w:hint="eastAsia" w:ascii="Times New Roman" w:hAnsi="Times New Roman" w:eastAsia="方正楷体_GBK" w:cs="方正楷体_GBK"/>
          <w:snapToGrid w:val="0"/>
          <w:color w:val="0C0C0C"/>
          <w:kern w:val="2"/>
          <w:sz w:val="32"/>
          <w:szCs w:val="32"/>
          <w:lang w:val="en-US" w:eastAsia="zh-CN" w:bidi="ar-SA"/>
        </w:rPr>
        <w:t>8937</w:t>
      </w:r>
      <w:r>
        <w:rPr>
          <w:rFonts w:hint="eastAsia" w:ascii="Times New Roman" w:hAnsi="Times New Roman" w:eastAsia="仿宋_GB2312" w:cs="仿宋_GB2312"/>
          <w:sz w:val="32"/>
          <w:szCs w:val="32"/>
          <w:lang w:eastAsia="zh-CN"/>
        </w:rPr>
        <w:t>个，占</w:t>
      </w:r>
      <w:r>
        <w:rPr>
          <w:rFonts w:hint="eastAsia" w:ascii="Times New Roman" w:hAnsi="Times New Roman" w:eastAsia="方正楷体_GBK" w:cs="方正楷体_GBK"/>
          <w:snapToGrid w:val="0"/>
          <w:color w:val="0C0C0C"/>
          <w:kern w:val="2"/>
          <w:sz w:val="32"/>
          <w:szCs w:val="32"/>
          <w:lang w:val="en-US" w:eastAsia="zh-CN" w:bidi="ar-SA"/>
        </w:rPr>
        <w:t>13.7%</w:t>
      </w:r>
      <w:r>
        <w:rPr>
          <w:rFonts w:hint="eastAsia" w:ascii="Times New Roman" w:hAnsi="Times New Roman" w:eastAsia="仿宋_GB2312" w:cs="仿宋_GB2312"/>
          <w:sz w:val="32"/>
          <w:szCs w:val="32"/>
          <w:lang w:eastAsia="zh-CN"/>
        </w:rPr>
        <w:t>。在个体经营户中，位居前三位的行业是：</w:t>
      </w:r>
      <w:r>
        <w:rPr>
          <w:rFonts w:hint="eastAsia" w:ascii="Times New Roman" w:hAnsi="Times New Roman" w:eastAsia="仿宋_GB2312" w:cs="仿宋_GB2312"/>
          <w:sz w:val="32"/>
          <w:szCs w:val="32"/>
          <w:lang w:val="en-US" w:eastAsia="zh-CN"/>
        </w:rPr>
        <w:t>批发和零售</w:t>
      </w:r>
      <w:r>
        <w:rPr>
          <w:rFonts w:hint="eastAsia" w:ascii="Times New Roman" w:hAnsi="Times New Roman" w:eastAsia="仿宋_GB2312" w:cs="仿宋_GB2312"/>
          <w:sz w:val="32"/>
          <w:szCs w:val="32"/>
          <w:lang w:eastAsia="zh-CN"/>
        </w:rPr>
        <w:t>业</w:t>
      </w:r>
      <w:r>
        <w:rPr>
          <w:rFonts w:hint="eastAsia" w:ascii="Times New Roman" w:hAnsi="Times New Roman" w:eastAsia="方正楷体_GBK" w:cs="方正楷体_GBK"/>
          <w:snapToGrid w:val="0"/>
          <w:color w:val="0C0C0C"/>
          <w:kern w:val="2"/>
          <w:sz w:val="32"/>
          <w:szCs w:val="32"/>
          <w:lang w:val="en-US" w:eastAsia="zh-CN" w:bidi="ar-SA"/>
        </w:rPr>
        <w:t>46775</w:t>
      </w:r>
      <w:r>
        <w:rPr>
          <w:rFonts w:hint="eastAsia" w:ascii="Times New Roman" w:hAnsi="Times New Roman" w:eastAsia="仿宋_GB2312" w:cs="仿宋_GB2312"/>
          <w:sz w:val="32"/>
          <w:szCs w:val="32"/>
          <w:lang w:eastAsia="zh-CN"/>
        </w:rPr>
        <w:t>个，占</w:t>
      </w:r>
      <w:r>
        <w:rPr>
          <w:rFonts w:hint="eastAsia" w:ascii="Times New Roman" w:hAnsi="Times New Roman" w:eastAsia="方正楷体_GBK" w:cs="方正楷体_GBK"/>
          <w:snapToGrid w:val="0"/>
          <w:color w:val="0C0C0C"/>
          <w:kern w:val="2"/>
          <w:sz w:val="32"/>
          <w:szCs w:val="32"/>
          <w:lang w:val="en-US" w:eastAsia="zh-CN" w:bidi="ar-SA"/>
        </w:rPr>
        <w:t>49.6%</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住宿和餐饮</w:t>
      </w:r>
      <w:r>
        <w:rPr>
          <w:rFonts w:hint="eastAsia" w:ascii="Times New Roman" w:hAnsi="Times New Roman" w:eastAsia="仿宋_GB2312" w:cs="仿宋_GB2312"/>
          <w:sz w:val="32"/>
          <w:szCs w:val="32"/>
          <w:lang w:eastAsia="zh-CN"/>
        </w:rPr>
        <w:t>业</w:t>
      </w:r>
      <w:r>
        <w:rPr>
          <w:rFonts w:hint="eastAsia" w:ascii="Times New Roman" w:hAnsi="Times New Roman" w:eastAsia="方正楷体_GBK" w:cs="方正楷体_GBK"/>
          <w:snapToGrid w:val="0"/>
          <w:color w:val="0C0C0C"/>
          <w:kern w:val="2"/>
          <w:sz w:val="32"/>
          <w:szCs w:val="32"/>
          <w:lang w:val="en-US" w:eastAsia="zh-CN" w:bidi="ar-SA"/>
        </w:rPr>
        <w:t>13037</w:t>
      </w:r>
      <w:r>
        <w:rPr>
          <w:rFonts w:hint="eastAsia" w:ascii="Times New Roman" w:hAnsi="Times New Roman" w:eastAsia="仿宋_GB2312" w:cs="仿宋_GB2312"/>
          <w:sz w:val="32"/>
          <w:szCs w:val="32"/>
          <w:lang w:eastAsia="zh-CN"/>
        </w:rPr>
        <w:t>个，占</w:t>
      </w:r>
      <w:r>
        <w:rPr>
          <w:rFonts w:hint="eastAsia" w:ascii="Times New Roman" w:hAnsi="Times New Roman" w:eastAsia="方正楷体_GBK" w:cs="方正楷体_GBK"/>
          <w:snapToGrid w:val="0"/>
          <w:color w:val="0C0C0C"/>
          <w:kern w:val="2"/>
          <w:sz w:val="32"/>
          <w:szCs w:val="32"/>
          <w:lang w:val="en-US" w:eastAsia="zh-CN" w:bidi="ar-SA"/>
        </w:rPr>
        <w:t>13.8%</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制造</w:t>
      </w:r>
      <w:r>
        <w:rPr>
          <w:rFonts w:hint="eastAsia" w:ascii="Times New Roman" w:hAnsi="Times New Roman" w:eastAsia="仿宋_GB2312" w:cs="仿宋_GB2312"/>
          <w:sz w:val="32"/>
          <w:szCs w:val="32"/>
          <w:lang w:eastAsia="zh-CN"/>
        </w:rPr>
        <w:t>业</w:t>
      </w:r>
      <w:r>
        <w:rPr>
          <w:rFonts w:hint="eastAsia" w:ascii="Times New Roman" w:hAnsi="Times New Roman" w:eastAsia="方正楷体_GBK" w:cs="方正楷体_GBK"/>
          <w:snapToGrid w:val="0"/>
          <w:color w:val="0C0C0C"/>
          <w:kern w:val="2"/>
          <w:sz w:val="32"/>
          <w:szCs w:val="32"/>
          <w:lang w:val="en-US" w:eastAsia="zh-CN" w:bidi="ar-SA"/>
        </w:rPr>
        <w:t>12878</w:t>
      </w:r>
      <w:r>
        <w:rPr>
          <w:rFonts w:hint="eastAsia" w:ascii="Times New Roman" w:hAnsi="Times New Roman" w:eastAsia="仿宋_GB2312" w:cs="仿宋_GB2312"/>
          <w:sz w:val="32"/>
          <w:szCs w:val="32"/>
          <w:lang w:eastAsia="zh-CN"/>
        </w:rPr>
        <w:t>个，占</w:t>
      </w:r>
      <w:r>
        <w:rPr>
          <w:rFonts w:hint="eastAsia" w:ascii="Times New Roman" w:hAnsi="Times New Roman" w:eastAsia="方正楷体_GBK" w:cs="方正楷体_GBK"/>
          <w:snapToGrid w:val="0"/>
          <w:color w:val="0C0C0C"/>
          <w:kern w:val="2"/>
          <w:sz w:val="32"/>
          <w:szCs w:val="32"/>
          <w:lang w:val="en-US" w:eastAsia="zh-CN" w:bidi="ar-SA"/>
        </w:rPr>
        <w:t>13.6%</w:t>
      </w:r>
      <w:r>
        <w:rPr>
          <w:rFonts w:hint="eastAsia" w:ascii="Times New Roman" w:hAnsi="Times New Roman" w:eastAsia="仿宋_GB2312" w:cs="仿宋_GB2312"/>
          <w:sz w:val="32"/>
          <w:szCs w:val="32"/>
          <w:lang w:eastAsia="zh-CN"/>
        </w:rPr>
        <w:t>（详见表</w:t>
      </w:r>
      <w:r>
        <w:rPr>
          <w:rFonts w:hint="eastAsia" w:ascii="Times New Roman" w:hAnsi="Times New Roman" w:eastAsia="方正楷体_GBK" w:cs="方正楷体_GBK"/>
          <w:snapToGrid w:val="0"/>
          <w:color w:val="0C0C0C"/>
          <w:kern w:val="2"/>
          <w:sz w:val="32"/>
          <w:szCs w:val="32"/>
          <w:lang w:val="en-US" w:eastAsia="zh-CN" w:bidi="ar-SA"/>
        </w:rPr>
        <w:t>2-2</w:t>
      </w:r>
      <w:r>
        <w:rPr>
          <w:rFonts w:hint="eastAsia" w:ascii="Times New Roman" w:hAnsi="Times New Roman" w:eastAsia="仿宋_GB2312" w:cs="仿宋_GB2312"/>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before="296" w:beforeLines="50" w:line="400" w:lineRule="exact"/>
        <w:ind w:left="0" w:leftChars="0" w:firstLine="0" w:firstLineChars="0"/>
        <w:jc w:val="center"/>
        <w:textAlignment w:val="center"/>
        <w:rPr>
          <w:rFonts w:hint="eastAsia" w:ascii="Times New Roman" w:hAnsi="Times New Roman" w:eastAsiaTheme="minorEastAsia" w:cstheme="minorEastAsia"/>
          <w:b/>
          <w:i w:val="0"/>
          <w:caps w:val="0"/>
          <w:color w:val="0C0C0C"/>
          <w:spacing w:val="0"/>
          <w:kern w:val="0"/>
          <w:sz w:val="24"/>
          <w:szCs w:val="24"/>
          <w:highlight w:val="none"/>
          <w:lang w:val="en-US" w:eastAsia="zh-CN" w:bidi="ar"/>
        </w:rPr>
      </w:pPr>
      <w:r>
        <w:rPr>
          <w:rFonts w:hint="eastAsia" w:ascii="Times New Roman" w:hAnsi="Times New Roman" w:eastAsiaTheme="minorEastAsia" w:cstheme="minorEastAsia"/>
          <w:b/>
          <w:i w:val="0"/>
          <w:caps w:val="0"/>
          <w:color w:val="0C0C0C"/>
          <w:spacing w:val="0"/>
          <w:kern w:val="0"/>
          <w:sz w:val="24"/>
          <w:szCs w:val="24"/>
          <w:highlight w:val="none"/>
          <w:lang w:val="en-US" w:eastAsia="zh-CN" w:bidi="ar"/>
        </w:rPr>
        <w:t>表2-2　按行业门类分组的法人单位数与个体经营户数</w:t>
      </w:r>
    </w:p>
    <w:tbl>
      <w:tblPr>
        <w:tblStyle w:val="11"/>
        <w:tblW w:w="8692" w:type="dxa"/>
        <w:jc w:val="center"/>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
      <w:tblGrid>
        <w:gridCol w:w="3652"/>
        <w:gridCol w:w="1397"/>
        <w:gridCol w:w="1140"/>
        <w:gridCol w:w="1356"/>
        <w:gridCol w:w="1147"/>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0" w:hRule="atLeast"/>
          <w:jc w:val="center"/>
        </w:trPr>
        <w:tc>
          <w:tcPr>
            <w:tcW w:w="3652" w:type="dxa"/>
            <w:vMerge w:val="restart"/>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6" w:right="6"/>
              <w:jc w:val="both"/>
              <w:textAlignment w:val="auto"/>
              <w:outlineLvl w:val="9"/>
              <w:rPr>
                <w:rFonts w:hint="eastAsia" w:ascii="Times New Roman" w:hAnsi="Times New Roman" w:eastAsiaTheme="minorEastAsia" w:cstheme="minorEastAsia"/>
                <w:color w:val="0C0C0C"/>
                <w:sz w:val="21"/>
                <w:szCs w:val="21"/>
                <w:highlight w:val="none"/>
              </w:rPr>
            </w:pPr>
          </w:p>
        </w:tc>
        <w:tc>
          <w:tcPr>
            <w:tcW w:w="2537" w:type="dxa"/>
            <w:gridSpan w:val="2"/>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center"/>
              <w:textAlignment w:val="auto"/>
              <w:outlineLvl w:val="9"/>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法人单位</w:t>
            </w:r>
          </w:p>
        </w:tc>
        <w:tc>
          <w:tcPr>
            <w:tcW w:w="2503" w:type="dxa"/>
            <w:gridSpan w:val="2"/>
            <w:tcBorders>
              <w:top w:val="single" w:color="auto" w:sz="12"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center"/>
              <w:textAlignment w:val="auto"/>
              <w:outlineLvl w:val="9"/>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个体经营户</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07" w:hRule="atLeast"/>
          <w:jc w:val="center"/>
        </w:trPr>
        <w:tc>
          <w:tcPr>
            <w:tcW w:w="3652" w:type="dxa"/>
            <w:vMerge w:val="continue"/>
            <w:tcBorders>
              <w:top w:val="single" w:color="auto" w:sz="8" w:space="0"/>
              <w:bottom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left="6" w:right="6"/>
              <w:jc w:val="both"/>
              <w:textAlignment w:val="auto"/>
              <w:outlineLvl w:val="9"/>
              <w:rPr>
                <w:rFonts w:hint="eastAsia" w:ascii="Times New Roman" w:hAnsi="Times New Roman" w:eastAsiaTheme="minorEastAsia" w:cstheme="minorEastAsia"/>
                <w:color w:val="0C0C0C"/>
                <w:sz w:val="21"/>
                <w:szCs w:val="21"/>
                <w:highlight w:val="none"/>
              </w:rPr>
            </w:pPr>
          </w:p>
        </w:tc>
        <w:tc>
          <w:tcPr>
            <w:tcW w:w="1397" w:type="dxa"/>
            <w:tcBorders>
              <w:top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center"/>
              <w:textAlignment w:val="auto"/>
              <w:outlineLvl w:val="9"/>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数量（个）</w:t>
            </w:r>
          </w:p>
        </w:tc>
        <w:tc>
          <w:tcPr>
            <w:tcW w:w="1140" w:type="dxa"/>
            <w:tcBorders>
              <w:top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center"/>
              <w:textAlignment w:val="auto"/>
              <w:outlineLvl w:val="9"/>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比重（%）</w:t>
            </w:r>
          </w:p>
        </w:tc>
        <w:tc>
          <w:tcPr>
            <w:tcW w:w="1356" w:type="dxa"/>
            <w:tcBorders>
              <w:top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center"/>
              <w:textAlignment w:val="auto"/>
              <w:outlineLvl w:val="9"/>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数量（个）</w:t>
            </w:r>
          </w:p>
        </w:tc>
        <w:tc>
          <w:tcPr>
            <w:tcW w:w="1147" w:type="dxa"/>
            <w:tcBorders>
              <w:top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center"/>
              <w:textAlignment w:val="auto"/>
              <w:outlineLvl w:val="9"/>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比重（%）</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op w:val="single" w:color="auto" w:sz="8"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center"/>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b/>
                <w:color w:val="0C0C0C"/>
                <w:kern w:val="0"/>
                <w:sz w:val="21"/>
                <w:szCs w:val="21"/>
                <w:highlight w:val="none"/>
                <w:lang w:val="en-US" w:eastAsia="zh-CN" w:bidi="ar"/>
              </w:rPr>
              <w:t>合　计</w:t>
            </w:r>
          </w:p>
        </w:tc>
        <w:tc>
          <w:tcPr>
            <w:tcW w:w="1397" w:type="dxa"/>
            <w:tcBorders>
              <w:top w:val="single" w:color="auto" w:sz="8"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2" w:firstLineChars="200"/>
              <w:jc w:val="right"/>
              <w:textAlignment w:val="auto"/>
              <w:outlineLvl w:val="9"/>
              <w:rPr>
                <w:rFonts w:hint="eastAsia" w:ascii="Times New Roman" w:hAnsi="Times New Roman" w:eastAsiaTheme="minorEastAsia" w:cstheme="minorEastAsia"/>
                <w:b/>
                <w:bCs/>
                <w:i w:val="0"/>
                <w:color w:val="0C0C0C"/>
                <w:kern w:val="2"/>
                <w:sz w:val="21"/>
                <w:szCs w:val="21"/>
                <w:highlight w:val="none"/>
                <w:u w:val="none"/>
                <w:lang w:val="en-US" w:eastAsia="zh-CN" w:bidi="ar-SA"/>
              </w:rPr>
            </w:pPr>
            <w:r>
              <w:rPr>
                <w:rFonts w:hint="eastAsia" w:ascii="Times New Roman" w:hAnsi="Times New Roman" w:eastAsiaTheme="minorEastAsia" w:cstheme="minorEastAsia"/>
                <w:b/>
                <w:bCs/>
                <w:i w:val="0"/>
                <w:iCs w:val="0"/>
                <w:color w:val="000000"/>
                <w:kern w:val="0"/>
                <w:sz w:val="21"/>
                <w:szCs w:val="21"/>
                <w:u w:val="none"/>
                <w:lang w:val="en-US" w:eastAsia="zh-CN" w:bidi="ar"/>
              </w:rPr>
              <w:t>65278</w:t>
            </w:r>
          </w:p>
        </w:tc>
        <w:tc>
          <w:tcPr>
            <w:tcW w:w="1140" w:type="dxa"/>
            <w:tcBorders>
              <w:top w:val="single" w:color="auto" w:sz="8"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2" w:firstLineChars="200"/>
              <w:jc w:val="right"/>
              <w:textAlignment w:val="auto"/>
              <w:outlineLvl w:val="9"/>
              <w:rPr>
                <w:rFonts w:hint="eastAsia" w:ascii="Times New Roman" w:hAnsi="Times New Roman" w:eastAsiaTheme="minorEastAsia" w:cstheme="minorEastAsia"/>
                <w:b/>
                <w:bCs/>
                <w:i w:val="0"/>
                <w:color w:val="0C0C0C"/>
                <w:kern w:val="2"/>
                <w:sz w:val="21"/>
                <w:szCs w:val="21"/>
                <w:highlight w:val="none"/>
                <w:u w:val="none"/>
                <w:lang w:val="en-US" w:eastAsia="zh-CN" w:bidi="ar-SA"/>
              </w:rPr>
            </w:pPr>
            <w:r>
              <w:rPr>
                <w:rFonts w:hint="eastAsia" w:ascii="Times New Roman" w:hAnsi="Times New Roman" w:eastAsiaTheme="minorEastAsia" w:cstheme="minorEastAsia"/>
                <w:b/>
                <w:bCs/>
                <w:i w:val="0"/>
                <w:iCs w:val="0"/>
                <w:color w:val="0C0C0C"/>
                <w:kern w:val="0"/>
                <w:sz w:val="21"/>
                <w:szCs w:val="21"/>
                <w:u w:val="none"/>
                <w:lang w:val="en-US" w:eastAsia="zh-CN" w:bidi="ar"/>
              </w:rPr>
              <w:t>100.0</w:t>
            </w:r>
          </w:p>
        </w:tc>
        <w:tc>
          <w:tcPr>
            <w:tcW w:w="1356" w:type="dxa"/>
            <w:tcBorders>
              <w:top w:val="single" w:color="auto" w:sz="8"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2" w:firstLineChars="200"/>
              <w:jc w:val="right"/>
              <w:textAlignment w:val="auto"/>
              <w:outlineLvl w:val="9"/>
              <w:rPr>
                <w:rFonts w:hint="eastAsia" w:ascii="Times New Roman" w:hAnsi="Times New Roman" w:eastAsiaTheme="minorEastAsia" w:cstheme="minorEastAsia"/>
                <w:b/>
                <w:bCs/>
                <w:i w:val="0"/>
                <w:color w:val="0C0C0C"/>
                <w:kern w:val="2"/>
                <w:sz w:val="21"/>
                <w:szCs w:val="21"/>
                <w:highlight w:val="none"/>
                <w:u w:val="none"/>
                <w:lang w:val="en-US" w:eastAsia="zh-CN" w:bidi="ar-SA"/>
              </w:rPr>
            </w:pPr>
            <w:r>
              <w:rPr>
                <w:rFonts w:hint="eastAsia" w:ascii="Times New Roman" w:hAnsi="Times New Roman" w:eastAsiaTheme="minorEastAsia" w:cstheme="minorEastAsia"/>
                <w:b/>
                <w:bCs/>
                <w:i w:val="0"/>
                <w:iCs w:val="0"/>
                <w:color w:val="000000"/>
                <w:kern w:val="0"/>
                <w:sz w:val="21"/>
                <w:szCs w:val="21"/>
                <w:u w:val="none"/>
                <w:lang w:val="en-US" w:eastAsia="zh-CN" w:bidi="ar"/>
              </w:rPr>
              <w:t>94370</w:t>
            </w:r>
          </w:p>
        </w:tc>
        <w:tc>
          <w:tcPr>
            <w:tcW w:w="1147" w:type="dxa"/>
            <w:tcBorders>
              <w:top w:val="single" w:color="auto" w:sz="8"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2" w:firstLineChars="200"/>
              <w:jc w:val="right"/>
              <w:textAlignment w:val="auto"/>
              <w:outlineLvl w:val="9"/>
              <w:rPr>
                <w:rFonts w:hint="eastAsia" w:ascii="Times New Roman" w:hAnsi="Times New Roman" w:eastAsiaTheme="minorEastAsia" w:cstheme="minorEastAsia"/>
                <w:b/>
                <w:bCs/>
                <w:color w:val="0C0C0C"/>
                <w:kern w:val="2"/>
                <w:sz w:val="21"/>
                <w:szCs w:val="21"/>
                <w:highlight w:val="none"/>
                <w:lang w:val="en-US" w:eastAsia="zh-CN" w:bidi="ar-SA"/>
              </w:rPr>
            </w:pPr>
            <w:r>
              <w:rPr>
                <w:rFonts w:hint="eastAsia" w:ascii="Times New Roman" w:hAnsi="Times New Roman" w:eastAsiaTheme="minorEastAsia" w:cstheme="minorEastAsia"/>
                <w:b/>
                <w:bCs/>
                <w:i w:val="0"/>
                <w:iCs w:val="0"/>
                <w:color w:val="0C0C0C"/>
                <w:kern w:val="0"/>
                <w:sz w:val="21"/>
                <w:szCs w:val="21"/>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kern w:val="0"/>
                <w:sz w:val="21"/>
                <w:szCs w:val="21"/>
                <w:highlight w:val="none"/>
                <w:lang w:val="en" w:eastAsia="zh-CN" w:bidi="ar"/>
              </w:rPr>
            </w:pPr>
            <w:r>
              <w:rPr>
                <w:rFonts w:hint="eastAsia" w:ascii="Times New Roman" w:hAnsi="Times New Roman" w:eastAsiaTheme="minorEastAsia" w:cstheme="minorEastAsia"/>
                <w:color w:val="0C0C0C"/>
                <w:kern w:val="0"/>
                <w:sz w:val="21"/>
                <w:szCs w:val="21"/>
                <w:highlight w:val="none"/>
                <w:lang w:val="en-US" w:eastAsia="zh-CN" w:bidi="ar"/>
              </w:rPr>
              <w:t>农、林、牧、渔业*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162</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0.2</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21</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iCs w:val="0"/>
                <w:color w:val="000000"/>
                <w:kern w:val="0"/>
                <w:sz w:val="21"/>
                <w:szCs w:val="21"/>
                <w:u w:val="none"/>
                <w:lang w:val="en-US" w:eastAsia="zh-CN" w:bidi="ar"/>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采矿业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11</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制造业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8937</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13.7</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12878</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13.6</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电力、热力、燃气及水生产和供应业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78</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0.1</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4</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建筑业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4558</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7.0</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1476</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批发和零售业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21910</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33.6</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46775</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49.6</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交通运输、仓储和邮政业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1401</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2.1</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10056</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10.7</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住宿和餐饮业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1494</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2.3</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13037</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13.8</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信息传输、软件和信息技术服务业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2291</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3.5</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273</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金融业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35</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0.1</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房地产业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3281</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5.0</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79</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0.1</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租赁和商务服务业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11043</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16.9</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1337</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科学研究和技术服务业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3459</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5.3</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261</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水利、环境和公共设施管理业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357</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0.5</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123</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0.1</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居民服务、修理和其他服务业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2207</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3.4</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6680</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7.1</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教育</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1162</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1.8</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326</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卫生和社会工作</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317</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0.5</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288</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文化、体育和娱乐业</w:t>
            </w:r>
          </w:p>
        </w:tc>
        <w:tc>
          <w:tcPr>
            <w:tcW w:w="139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1682</w:t>
            </w:r>
          </w:p>
        </w:tc>
        <w:tc>
          <w:tcPr>
            <w:tcW w:w="11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2.6</w:t>
            </w:r>
          </w:p>
        </w:tc>
        <w:tc>
          <w:tcPr>
            <w:tcW w:w="135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755</w:t>
            </w:r>
          </w:p>
        </w:tc>
        <w:tc>
          <w:tcPr>
            <w:tcW w:w="114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0.8</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340" w:hRule="exact"/>
          <w:jc w:val="center"/>
        </w:trPr>
        <w:tc>
          <w:tcPr>
            <w:tcW w:w="3652" w:type="dxa"/>
            <w:tcBorders>
              <w:bottom w:val="single" w:color="auto" w:sz="12"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20" w:lineRule="exact"/>
              <w:ind w:left="0" w:leftChars="0" w:right="6" w:firstLine="0" w:firstLineChars="0"/>
              <w:jc w:val="both"/>
              <w:textAlignment w:val="auto"/>
              <w:outlineLvl w:val="9"/>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公共管理、社会保障和社会组织</w:t>
            </w:r>
          </w:p>
        </w:tc>
        <w:tc>
          <w:tcPr>
            <w:tcW w:w="139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893</w:t>
            </w:r>
          </w:p>
        </w:tc>
        <w:tc>
          <w:tcPr>
            <w:tcW w:w="114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US" w:eastAsia="zh-CN" w:bidi="ar-SA"/>
              </w:rPr>
            </w:pPr>
            <w:r>
              <w:rPr>
                <w:rFonts w:hint="eastAsia" w:ascii="Times New Roman" w:hAnsi="Times New Roman" w:eastAsiaTheme="minorEastAsia" w:cstheme="minorEastAsia"/>
                <w:b w:val="0"/>
                <w:bCs w:val="0"/>
                <w:i w:val="0"/>
                <w:iCs w:val="0"/>
                <w:color w:val="0C0C0C"/>
                <w:kern w:val="0"/>
                <w:sz w:val="21"/>
                <w:szCs w:val="21"/>
                <w:u w:val="none"/>
                <w:lang w:val="en-US" w:eastAsia="zh-CN" w:bidi="ar"/>
              </w:rPr>
              <w:t>1.4</w:t>
            </w:r>
          </w:p>
        </w:tc>
        <w:tc>
          <w:tcPr>
            <w:tcW w:w="135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c>
          <w:tcPr>
            <w:tcW w:w="114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420" w:firstLineChars="200"/>
              <w:jc w:val="right"/>
              <w:textAlignment w:val="auto"/>
              <w:outlineLvl w:val="9"/>
              <w:rPr>
                <w:rFonts w:hint="eastAsia" w:ascii="Times New Roman" w:hAnsi="Times New Roman" w:eastAsiaTheme="minorEastAsia" w:cstheme="minorEastAsia"/>
                <w:b w:val="0"/>
                <w:bCs w:val="0"/>
                <w:i w:val="0"/>
                <w:color w:val="0C0C0C"/>
                <w:kern w:val="2"/>
                <w:sz w:val="21"/>
                <w:szCs w:val="21"/>
                <w:highlight w:val="none"/>
                <w:u w:val="none"/>
                <w:lang w:val="en" w:eastAsia="zh-CN" w:bidi="ar-SA"/>
              </w:rPr>
            </w:pP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0" w:type="dxa"/>
            <w:bottom w:w="0" w:type="dxa"/>
            <w:right w:w="0" w:type="dxa"/>
          </w:tblCellMar>
        </w:tblPrEx>
        <w:trPr>
          <w:trHeight w:val="544" w:hRule="atLeast"/>
          <w:jc w:val="center"/>
        </w:trPr>
        <w:tc>
          <w:tcPr>
            <w:tcW w:w="8692" w:type="dxa"/>
            <w:gridSpan w:val="5"/>
            <w:tcBorders>
              <w:top w:val="single" w:color="auto" w:sz="12" w:space="0"/>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6" w:right="6" w:firstLine="420" w:firstLineChars="200"/>
              <w:jc w:val="both"/>
              <w:textAlignment w:val="auto"/>
              <w:rPr>
                <w:rFonts w:hint="default" w:ascii="Times New Roman" w:hAnsi="Times New Roman" w:eastAsia="仿宋_GB2312" w:cs="仿宋_GB2312"/>
                <w:color w:val="0C0C0C"/>
                <w:sz w:val="21"/>
                <w:szCs w:val="21"/>
                <w:highlight w:val="none"/>
                <w:lang w:val="en-US"/>
              </w:rPr>
            </w:pPr>
            <w:r>
              <w:rPr>
                <w:rFonts w:hint="eastAsia" w:ascii="Times New Roman" w:hAnsi="Times New Roman" w:eastAsia="楷体" w:cs="楷体"/>
                <w:color w:val="0C0C0C"/>
                <w:kern w:val="0"/>
                <w:sz w:val="21"/>
                <w:szCs w:val="21"/>
                <w:highlight w:val="none"/>
                <w:lang w:val="en-US" w:eastAsia="zh-CN" w:bidi="ar"/>
              </w:rPr>
              <w:t>注：表中农、林、牧、渔业仅包括从事农、林、牧、渔专业及辅助性活动的法人单位与个体经营户，以及兼营第二、三产业活动的农、林、牧、渔业法人单位。表中房地产业包括房地产开发经营、物业管理、房地产中介服务、房地产租赁经营和其他房地产业。</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Times New Roman" w:hAnsi="Times New Roman" w:eastAsia="仿宋_GB2312" w:cs="仿宋_GB2312"/>
          <w:sz w:val="32"/>
          <w:szCs w:val="32"/>
          <w:lang w:eastAsia="zh-CN"/>
        </w:rPr>
      </w:pPr>
      <w:r>
        <w:rPr>
          <w:rFonts w:hint="eastAsia" w:ascii="黑体" w:hAnsi="黑体" w:eastAsia="黑体" w:cs="黑体"/>
          <w:sz w:val="32"/>
          <w:szCs w:val="32"/>
          <w:lang w:eastAsia="zh-CN"/>
        </w:rPr>
        <w:t>二、从业人员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2023年末，全</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sz w:val="32"/>
          <w:szCs w:val="32"/>
          <w:lang w:eastAsia="zh-CN"/>
        </w:rPr>
        <w:t>第二产业和第三产业法人单位从业人员</w:t>
      </w:r>
      <w:r>
        <w:rPr>
          <w:rFonts w:hint="eastAsia" w:ascii="Times New Roman" w:hAnsi="Times New Roman" w:eastAsia="仿宋_GB2312" w:cs="仿宋_GB2312"/>
          <w:sz w:val="32"/>
          <w:szCs w:val="32"/>
          <w:lang w:val="en-US" w:eastAsia="zh-CN"/>
        </w:rPr>
        <w:t>54.33万</w:t>
      </w:r>
      <w:r>
        <w:rPr>
          <w:rFonts w:hint="eastAsia" w:ascii="Times New Roman" w:hAnsi="Times New Roman" w:eastAsia="仿宋_GB2312" w:cs="仿宋_GB2312"/>
          <w:sz w:val="32"/>
          <w:szCs w:val="32"/>
          <w:lang w:eastAsia="zh-CN"/>
        </w:rPr>
        <w:t>人，比2018年末增长</w:t>
      </w:r>
      <w:r>
        <w:rPr>
          <w:rFonts w:hint="eastAsia" w:ascii="Times New Roman" w:hAnsi="Times New Roman" w:eastAsia="仿宋_GB2312" w:cs="仿宋_GB2312"/>
          <w:sz w:val="32"/>
          <w:szCs w:val="32"/>
          <w:lang w:val="en-US" w:eastAsia="zh-CN"/>
        </w:rPr>
        <w:t>37.1</w:t>
      </w:r>
      <w:r>
        <w:rPr>
          <w:rFonts w:hint="eastAsia" w:ascii="Times New Roman" w:hAnsi="Times New Roman" w:eastAsia="仿宋_GB2312" w:cs="仿宋_GB2312"/>
          <w:sz w:val="32"/>
          <w:szCs w:val="32"/>
          <w:lang w:eastAsia="zh-CN"/>
        </w:rPr>
        <w:t>%，其中女性从业人员</w:t>
      </w:r>
      <w:r>
        <w:rPr>
          <w:rFonts w:hint="eastAsia" w:ascii="Times New Roman" w:hAnsi="Times New Roman" w:eastAsia="仿宋_GB2312" w:cs="仿宋_GB2312"/>
          <w:sz w:val="32"/>
          <w:szCs w:val="32"/>
          <w:lang w:val="en-US" w:eastAsia="zh-CN"/>
        </w:rPr>
        <w:t>21.55万</w:t>
      </w:r>
      <w:r>
        <w:rPr>
          <w:rFonts w:hint="eastAsia" w:ascii="Times New Roman" w:hAnsi="Times New Roman" w:eastAsia="仿宋_GB2312" w:cs="仿宋_GB2312"/>
          <w:sz w:val="32"/>
          <w:szCs w:val="32"/>
          <w:lang w:eastAsia="zh-CN"/>
        </w:rPr>
        <w:t>人。第二产业从业人员</w:t>
      </w:r>
      <w:r>
        <w:rPr>
          <w:rFonts w:hint="eastAsia" w:ascii="Times New Roman" w:hAnsi="Times New Roman" w:eastAsia="仿宋_GB2312" w:cs="仿宋_GB2312"/>
          <w:sz w:val="32"/>
          <w:szCs w:val="32"/>
          <w:lang w:val="en-US" w:eastAsia="zh-CN"/>
        </w:rPr>
        <w:t>24.46万</w:t>
      </w:r>
      <w:r>
        <w:rPr>
          <w:rFonts w:hint="eastAsia" w:ascii="Times New Roman" w:hAnsi="Times New Roman" w:eastAsia="仿宋_GB2312" w:cs="仿宋_GB2312"/>
          <w:sz w:val="32"/>
          <w:szCs w:val="32"/>
          <w:lang w:eastAsia="zh-CN"/>
        </w:rPr>
        <w:t>人，</w:t>
      </w:r>
      <w:r>
        <w:rPr>
          <w:rFonts w:hint="eastAsia" w:ascii="Times New Roman" w:hAnsi="Times New Roman" w:eastAsia="仿宋_GB2312" w:cs="仿宋_GB2312"/>
          <w:sz w:val="32"/>
          <w:szCs w:val="32"/>
          <w:lang w:val="en-US" w:eastAsia="zh-CN"/>
        </w:rPr>
        <w:t>增长21.6</w:t>
      </w:r>
      <w:r>
        <w:rPr>
          <w:rFonts w:hint="eastAsia" w:ascii="Times New Roman" w:hAnsi="Times New Roman" w:eastAsia="仿宋_GB2312" w:cs="仿宋_GB2312"/>
          <w:sz w:val="32"/>
          <w:szCs w:val="32"/>
          <w:lang w:eastAsia="zh-CN"/>
        </w:rPr>
        <w:t>%；第三产业从业人员</w:t>
      </w:r>
      <w:r>
        <w:rPr>
          <w:rFonts w:hint="eastAsia" w:ascii="Times New Roman" w:hAnsi="Times New Roman" w:eastAsia="仿宋_GB2312" w:cs="仿宋_GB2312"/>
          <w:sz w:val="32"/>
          <w:szCs w:val="32"/>
          <w:lang w:val="en-US" w:eastAsia="zh-CN"/>
        </w:rPr>
        <w:t>29.87万</w:t>
      </w:r>
      <w:r>
        <w:rPr>
          <w:rFonts w:hint="eastAsia" w:ascii="Times New Roman" w:hAnsi="Times New Roman" w:eastAsia="仿宋_GB2312" w:cs="仿宋_GB2312"/>
          <w:sz w:val="32"/>
          <w:szCs w:val="32"/>
          <w:lang w:eastAsia="zh-CN"/>
        </w:rPr>
        <w:t>人，增长</w:t>
      </w:r>
      <w:r>
        <w:rPr>
          <w:rFonts w:hint="eastAsia" w:ascii="Times New Roman" w:hAnsi="Times New Roman" w:eastAsia="仿宋_GB2312" w:cs="仿宋_GB2312"/>
          <w:sz w:val="32"/>
          <w:szCs w:val="32"/>
          <w:lang w:val="en-US" w:eastAsia="zh-CN"/>
        </w:rPr>
        <w:t>53.0</w:t>
      </w:r>
      <w:r>
        <w:rPr>
          <w:rFonts w:hint="eastAsia" w:ascii="Times New Roman" w:hAnsi="Times New Roman" w:eastAsia="仿宋_GB2312" w:cs="仿宋_GB2312"/>
          <w:sz w:val="32"/>
          <w:szCs w:val="32"/>
          <w:lang w:eastAsia="zh-CN"/>
        </w:rPr>
        <w:t>%。个体经营户从业人员</w:t>
      </w:r>
      <w:r>
        <w:rPr>
          <w:rFonts w:hint="eastAsia" w:ascii="Times New Roman" w:hAnsi="Times New Roman" w:eastAsia="仿宋_GB2312" w:cs="仿宋_GB2312"/>
          <w:sz w:val="32"/>
          <w:szCs w:val="32"/>
          <w:lang w:val="en-US" w:eastAsia="zh-CN"/>
        </w:rPr>
        <w:t>17.27万</w:t>
      </w:r>
      <w:r>
        <w:rPr>
          <w:rFonts w:hint="eastAsia" w:ascii="Times New Roman" w:hAnsi="Times New Roman" w:eastAsia="仿宋_GB2312" w:cs="仿宋_GB2312"/>
          <w:sz w:val="32"/>
          <w:szCs w:val="32"/>
          <w:lang w:eastAsia="zh-CN"/>
        </w:rPr>
        <w:t>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640" w:firstLineChars="200"/>
        <w:jc w:val="both"/>
        <w:textAlignment w:val="baseline"/>
        <w:outlineLvl w:val="9"/>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在第二产业和第三产业法人单位从业人员中，位居前三位的行业是：</w:t>
      </w:r>
      <w:r>
        <w:rPr>
          <w:rFonts w:hint="eastAsia" w:ascii="Times New Roman" w:hAnsi="Times New Roman" w:eastAsia="仿宋_GB2312" w:cs="仿宋_GB2312"/>
          <w:sz w:val="32"/>
          <w:szCs w:val="32"/>
          <w:lang w:val="en-US" w:eastAsia="zh-CN"/>
        </w:rPr>
        <w:t>制造</w:t>
      </w:r>
      <w:r>
        <w:rPr>
          <w:rFonts w:hint="eastAsia" w:ascii="Times New Roman" w:hAnsi="Times New Roman" w:eastAsia="仿宋_GB2312" w:cs="仿宋_GB2312"/>
          <w:sz w:val="32"/>
          <w:szCs w:val="32"/>
          <w:lang w:eastAsia="zh-CN"/>
        </w:rPr>
        <w:t>业</w:t>
      </w:r>
      <w:r>
        <w:rPr>
          <w:rFonts w:hint="eastAsia" w:ascii="Times New Roman" w:hAnsi="Times New Roman" w:eastAsia="仿宋_GB2312" w:cs="仿宋_GB2312"/>
          <w:sz w:val="32"/>
          <w:szCs w:val="32"/>
          <w:lang w:val="en-US" w:eastAsia="zh-CN"/>
        </w:rPr>
        <w:t>18.07万</w:t>
      </w:r>
      <w:r>
        <w:rPr>
          <w:rFonts w:hint="eastAsia" w:ascii="Times New Roman" w:hAnsi="Times New Roman" w:eastAsia="仿宋_GB2312" w:cs="仿宋_GB2312"/>
          <w:sz w:val="32"/>
          <w:szCs w:val="32"/>
          <w:lang w:eastAsia="zh-CN"/>
        </w:rPr>
        <w:t>人，占</w:t>
      </w:r>
      <w:r>
        <w:rPr>
          <w:rFonts w:hint="eastAsia" w:ascii="Times New Roman" w:hAnsi="Times New Roman" w:eastAsia="仿宋_GB2312" w:cs="仿宋_GB2312"/>
          <w:sz w:val="32"/>
          <w:szCs w:val="32"/>
          <w:lang w:val="en-US" w:eastAsia="zh-CN"/>
        </w:rPr>
        <w:t>33.3</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批发和零售</w:t>
      </w:r>
      <w:r>
        <w:rPr>
          <w:rFonts w:hint="eastAsia" w:ascii="Times New Roman" w:hAnsi="Times New Roman" w:eastAsia="仿宋_GB2312" w:cs="仿宋_GB2312"/>
          <w:sz w:val="32"/>
          <w:szCs w:val="32"/>
          <w:lang w:eastAsia="zh-CN"/>
        </w:rPr>
        <w:t>业</w:t>
      </w:r>
      <w:r>
        <w:rPr>
          <w:rFonts w:hint="eastAsia" w:ascii="Times New Roman" w:hAnsi="Times New Roman" w:eastAsia="仿宋_GB2312" w:cs="仿宋_GB2312"/>
          <w:sz w:val="32"/>
          <w:szCs w:val="32"/>
          <w:lang w:val="en-US" w:eastAsia="zh-CN"/>
        </w:rPr>
        <w:t>6.85万</w:t>
      </w:r>
      <w:r>
        <w:rPr>
          <w:rFonts w:hint="eastAsia" w:ascii="Times New Roman" w:hAnsi="Times New Roman" w:eastAsia="仿宋_GB2312" w:cs="仿宋_GB2312"/>
          <w:sz w:val="32"/>
          <w:szCs w:val="32"/>
          <w:lang w:eastAsia="zh-CN"/>
        </w:rPr>
        <w:t>人，占</w:t>
      </w:r>
      <w:r>
        <w:rPr>
          <w:rFonts w:hint="eastAsia" w:ascii="Times New Roman" w:hAnsi="Times New Roman" w:eastAsia="仿宋_GB2312" w:cs="仿宋_GB2312"/>
          <w:sz w:val="32"/>
          <w:szCs w:val="32"/>
          <w:lang w:val="en-US" w:eastAsia="zh-CN"/>
        </w:rPr>
        <w:t>12.6</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建筑业6.31万</w:t>
      </w:r>
      <w:r>
        <w:rPr>
          <w:rFonts w:hint="eastAsia" w:ascii="Times New Roman" w:hAnsi="Times New Roman" w:eastAsia="仿宋_GB2312" w:cs="仿宋_GB2312"/>
          <w:sz w:val="32"/>
          <w:szCs w:val="32"/>
          <w:lang w:eastAsia="zh-CN"/>
        </w:rPr>
        <w:t>人，占</w:t>
      </w:r>
      <w:r>
        <w:rPr>
          <w:rFonts w:hint="eastAsia" w:ascii="Times New Roman" w:hAnsi="Times New Roman" w:eastAsia="仿宋_GB2312" w:cs="仿宋_GB2312"/>
          <w:sz w:val="32"/>
          <w:szCs w:val="32"/>
          <w:lang w:val="en-US" w:eastAsia="zh-CN"/>
        </w:rPr>
        <w:t>11.6</w:t>
      </w:r>
      <w:r>
        <w:rPr>
          <w:rFonts w:hint="eastAsia" w:ascii="Times New Roman" w:hAnsi="Times New Roman" w:eastAsia="仿宋_GB2312" w:cs="仿宋_GB2312"/>
          <w:sz w:val="32"/>
          <w:szCs w:val="32"/>
          <w:lang w:eastAsia="zh-CN"/>
        </w:rPr>
        <w:t>%。在个体经营户从业人员中，位居前三位的行业是：</w:t>
      </w:r>
      <w:r>
        <w:rPr>
          <w:rFonts w:hint="eastAsia" w:ascii="Times New Roman" w:hAnsi="Times New Roman" w:eastAsia="仿宋_GB2312" w:cs="仿宋_GB2312"/>
          <w:sz w:val="32"/>
          <w:szCs w:val="32"/>
          <w:lang w:val="en-US" w:eastAsia="zh-CN"/>
        </w:rPr>
        <w:t>批发和零售</w:t>
      </w:r>
      <w:r>
        <w:rPr>
          <w:rFonts w:hint="eastAsia" w:ascii="Times New Roman" w:hAnsi="Times New Roman" w:eastAsia="仿宋_GB2312" w:cs="仿宋_GB2312"/>
          <w:sz w:val="32"/>
          <w:szCs w:val="32"/>
          <w:lang w:eastAsia="zh-CN"/>
        </w:rPr>
        <w:t>业</w:t>
      </w:r>
      <w:r>
        <w:rPr>
          <w:rFonts w:hint="eastAsia" w:ascii="Times New Roman" w:hAnsi="Times New Roman" w:eastAsia="仿宋_GB2312" w:cs="仿宋_GB2312"/>
          <w:sz w:val="32"/>
          <w:szCs w:val="32"/>
          <w:lang w:val="en-US" w:eastAsia="zh-CN"/>
        </w:rPr>
        <w:t>6.71万</w:t>
      </w:r>
      <w:r>
        <w:rPr>
          <w:rFonts w:hint="eastAsia" w:ascii="Times New Roman" w:hAnsi="Times New Roman" w:eastAsia="仿宋_GB2312" w:cs="仿宋_GB2312"/>
          <w:sz w:val="32"/>
          <w:szCs w:val="32"/>
          <w:lang w:eastAsia="zh-CN"/>
        </w:rPr>
        <w:t>人，占</w:t>
      </w:r>
      <w:r>
        <w:rPr>
          <w:rFonts w:hint="eastAsia" w:ascii="Times New Roman" w:hAnsi="Times New Roman" w:eastAsia="仿宋_GB2312" w:cs="仿宋_GB2312"/>
          <w:sz w:val="32"/>
          <w:szCs w:val="32"/>
          <w:lang w:val="en-US" w:eastAsia="zh-CN"/>
        </w:rPr>
        <w:t>38.8</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制造</w:t>
      </w:r>
      <w:r>
        <w:rPr>
          <w:rFonts w:hint="eastAsia" w:ascii="Times New Roman" w:hAnsi="Times New Roman" w:eastAsia="仿宋_GB2312" w:cs="仿宋_GB2312"/>
          <w:sz w:val="32"/>
          <w:szCs w:val="32"/>
          <w:lang w:eastAsia="zh-CN"/>
        </w:rPr>
        <w:t>业</w:t>
      </w:r>
      <w:r>
        <w:rPr>
          <w:rFonts w:hint="eastAsia" w:ascii="Times New Roman" w:hAnsi="Times New Roman" w:eastAsia="仿宋_GB2312" w:cs="仿宋_GB2312"/>
          <w:sz w:val="32"/>
          <w:szCs w:val="32"/>
          <w:lang w:val="en-US" w:eastAsia="zh-CN"/>
        </w:rPr>
        <w:t>4.37万</w:t>
      </w:r>
      <w:r>
        <w:rPr>
          <w:rFonts w:hint="eastAsia" w:ascii="Times New Roman" w:hAnsi="Times New Roman" w:eastAsia="仿宋_GB2312" w:cs="仿宋_GB2312"/>
          <w:sz w:val="32"/>
          <w:szCs w:val="32"/>
          <w:lang w:eastAsia="zh-CN"/>
        </w:rPr>
        <w:t>人，占</w:t>
      </w:r>
      <w:r>
        <w:rPr>
          <w:rFonts w:hint="eastAsia" w:ascii="Times New Roman" w:hAnsi="Times New Roman" w:eastAsia="仿宋_GB2312" w:cs="仿宋_GB2312"/>
          <w:sz w:val="32"/>
          <w:szCs w:val="32"/>
          <w:lang w:val="en-US" w:eastAsia="zh-CN"/>
        </w:rPr>
        <w:t>25.3</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住宿和餐饮业2.89万</w:t>
      </w:r>
      <w:r>
        <w:rPr>
          <w:rFonts w:hint="eastAsia" w:ascii="Times New Roman" w:hAnsi="Times New Roman" w:eastAsia="仿宋_GB2312" w:cs="仿宋_GB2312"/>
          <w:sz w:val="32"/>
          <w:szCs w:val="32"/>
          <w:lang w:eastAsia="zh-CN"/>
        </w:rPr>
        <w:t>人，占</w:t>
      </w:r>
      <w:r>
        <w:rPr>
          <w:rFonts w:hint="eastAsia" w:ascii="Times New Roman" w:hAnsi="Times New Roman" w:eastAsia="仿宋_GB2312" w:cs="仿宋_GB2312"/>
          <w:sz w:val="32"/>
          <w:szCs w:val="32"/>
          <w:lang w:val="en-US" w:eastAsia="zh-CN"/>
        </w:rPr>
        <w:t>16.7</w:t>
      </w:r>
      <w:r>
        <w:rPr>
          <w:rFonts w:hint="eastAsia" w:ascii="Times New Roman" w:hAnsi="Times New Roman" w:eastAsia="仿宋_GB2312" w:cs="仿宋_GB2312"/>
          <w:sz w:val="32"/>
          <w:szCs w:val="32"/>
          <w:lang w:eastAsia="zh-CN"/>
        </w:rPr>
        <w:t>%（详见表2-3）。</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rPr>
          <w:rFonts w:hint="eastAsia" w:ascii="Times New Roman" w:hAnsi="Times New Roman" w:eastAsiaTheme="minorEastAsia" w:cstheme="minorEastAsia"/>
          <w:b/>
          <w:i w:val="0"/>
          <w:caps w:val="0"/>
          <w:color w:val="0C0C0C"/>
          <w:spacing w:val="0"/>
          <w:kern w:val="0"/>
          <w:sz w:val="24"/>
          <w:szCs w:val="24"/>
          <w:highlight w:val="none"/>
          <w:lang w:val="en-US" w:eastAsia="zh-CN" w:bidi="ar"/>
        </w:rPr>
      </w:pPr>
      <w:r>
        <w:rPr>
          <w:rFonts w:hint="eastAsia" w:ascii="Times New Roman" w:hAnsi="Times New Roman" w:eastAsiaTheme="minorEastAsia" w:cstheme="minorEastAsia"/>
          <w:b/>
          <w:i w:val="0"/>
          <w:caps w:val="0"/>
          <w:color w:val="0C0C0C"/>
          <w:spacing w:val="0"/>
          <w:kern w:val="0"/>
          <w:sz w:val="24"/>
          <w:szCs w:val="24"/>
          <w:highlight w:val="none"/>
          <w:lang w:val="en-US" w:eastAsia="zh-CN" w:bidi="ar"/>
        </w:rPr>
        <w:t>表2-3　按行业门类分组的法人单位与个体经营户从业人员</w:t>
      </w:r>
    </w:p>
    <w:tbl>
      <w:tblPr>
        <w:tblStyle w:val="11"/>
        <w:tblW w:w="862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032"/>
        <w:gridCol w:w="1484"/>
        <w:gridCol w:w="1403"/>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12" w:hRule="atLeast"/>
          <w:jc w:val="center"/>
        </w:trPr>
        <w:tc>
          <w:tcPr>
            <w:tcW w:w="4032" w:type="dxa"/>
            <w:vMerge w:val="restart"/>
            <w:tcBorders>
              <w:top w:val="single" w:color="auto" w:sz="12" w:space="0"/>
              <w:bottom w:val="single" w:color="auto" w:sz="8" w:space="0"/>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heme="minorEastAsia" w:hAnsiTheme="minorEastAsia" w:eastAsiaTheme="minorEastAsia" w:cstheme="minorEastAsia"/>
                <w:b/>
                <w:bCs/>
                <w:color w:val="0C0C0C"/>
                <w:sz w:val="21"/>
                <w:szCs w:val="21"/>
                <w:highlight w:val="none"/>
              </w:rPr>
            </w:pPr>
          </w:p>
        </w:tc>
        <w:tc>
          <w:tcPr>
            <w:tcW w:w="1484" w:type="dxa"/>
            <w:vMerge w:val="restart"/>
            <w:tcBorders>
              <w:top w:val="single" w:color="auto" w:sz="12" w:space="0"/>
              <w:left w:val="single" w:color="auto" w:sz="8" w:space="0"/>
              <w:bottom w:val="single" w:color="auto" w:sz="8"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heme="minorEastAsia" w:hAnsiTheme="minorEastAsia" w:eastAsiaTheme="minorEastAsia" w:cstheme="minorEastAsia"/>
                <w:b/>
                <w:bCs/>
                <w:color w:val="0C0C0C"/>
                <w:kern w:val="0"/>
                <w:sz w:val="21"/>
                <w:szCs w:val="21"/>
                <w:highlight w:val="none"/>
                <w:lang w:val="en-US" w:eastAsia="zh-CN" w:bidi="ar"/>
              </w:rPr>
            </w:pPr>
            <w:r>
              <w:rPr>
                <w:rFonts w:hint="eastAsia" w:asciiTheme="minorEastAsia" w:hAnsiTheme="minorEastAsia" w:eastAsiaTheme="minorEastAsia" w:cstheme="minorEastAsia"/>
                <w:b/>
                <w:bCs/>
                <w:color w:val="0C0C0C"/>
                <w:kern w:val="0"/>
                <w:sz w:val="21"/>
                <w:szCs w:val="21"/>
                <w:highlight w:val="none"/>
                <w:lang w:val="en-US" w:eastAsia="zh-CN" w:bidi="ar"/>
              </w:rPr>
              <w:t>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heme="minorEastAsia" w:hAnsiTheme="minorEastAsia" w:eastAsiaTheme="minorEastAsia" w:cstheme="minorEastAsia"/>
                <w:b/>
                <w:bCs/>
                <w:color w:val="0C0C0C"/>
                <w:kern w:val="0"/>
                <w:sz w:val="21"/>
                <w:szCs w:val="21"/>
                <w:highlight w:val="none"/>
                <w:lang w:val="en-US" w:eastAsia="zh-CN" w:bidi="ar"/>
              </w:rPr>
            </w:pPr>
            <w:r>
              <w:rPr>
                <w:rFonts w:hint="eastAsia" w:asciiTheme="minorEastAsia" w:hAnsiTheme="minorEastAsia" w:eastAsiaTheme="minorEastAsia" w:cstheme="minorEastAsia"/>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heme="minorEastAsia" w:hAnsiTheme="minorEastAsia" w:eastAsiaTheme="minorEastAsia" w:cstheme="minorEastAsia"/>
                <w:b/>
                <w:bCs/>
                <w:color w:val="0C0C0C"/>
                <w:sz w:val="21"/>
                <w:szCs w:val="21"/>
                <w:highlight w:val="none"/>
              </w:rPr>
            </w:pPr>
            <w:r>
              <w:rPr>
                <w:rFonts w:hint="eastAsia" w:asciiTheme="minorEastAsia" w:hAnsiTheme="minorEastAsia" w:eastAsiaTheme="minorEastAsia" w:cstheme="minorEastAsia"/>
                <w:b/>
                <w:bCs/>
                <w:color w:val="0C0C0C"/>
                <w:kern w:val="0"/>
                <w:sz w:val="21"/>
                <w:szCs w:val="21"/>
                <w:highlight w:val="none"/>
                <w:lang w:val="en-US" w:eastAsia="zh-CN" w:bidi="ar"/>
              </w:rPr>
              <w:t>（人）</w:t>
            </w:r>
          </w:p>
        </w:tc>
        <w:tc>
          <w:tcPr>
            <w:tcW w:w="1403" w:type="dxa"/>
            <w:tcBorders>
              <w:top w:val="single" w:color="auto" w:sz="12" w:space="0"/>
              <w:left w:val="nil"/>
              <w:bottom w:val="single" w:color="auto" w:sz="8" w:space="0"/>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203"/>
              </w:tabs>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heme="minorEastAsia" w:hAnsiTheme="minorEastAsia" w:eastAsiaTheme="minorEastAsia" w:cstheme="minorEastAsia"/>
                <w:b/>
                <w:bCs/>
                <w:color w:val="0C0C0C"/>
                <w:sz w:val="21"/>
                <w:szCs w:val="21"/>
                <w:highlight w:val="none"/>
                <w:lang w:eastAsia="zh-CN"/>
              </w:rPr>
            </w:pPr>
            <w:r>
              <w:rPr>
                <w:rFonts w:hint="eastAsia" w:asciiTheme="minorEastAsia" w:hAnsiTheme="minorEastAsia" w:eastAsiaTheme="minorEastAsia" w:cstheme="minorEastAsia"/>
                <w:b/>
                <w:bCs/>
                <w:color w:val="0C0C0C"/>
                <w:sz w:val="21"/>
                <w:szCs w:val="21"/>
                <w:highlight w:val="none"/>
                <w:lang w:eastAsia="zh-CN"/>
              </w:rPr>
              <w:tab/>
            </w:r>
          </w:p>
        </w:tc>
        <w:tc>
          <w:tcPr>
            <w:tcW w:w="1701" w:type="dxa"/>
            <w:vMerge w:val="restart"/>
            <w:tcBorders>
              <w:top w:val="single" w:color="auto" w:sz="12" w:space="0"/>
              <w:left w:val="single" w:color="auto" w:sz="8" w:space="0"/>
              <w:bottom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heme="minorEastAsia" w:hAnsiTheme="minorEastAsia" w:eastAsiaTheme="minorEastAsia" w:cstheme="minorEastAsia"/>
                <w:b/>
                <w:bCs/>
                <w:color w:val="0C0C0C"/>
                <w:kern w:val="0"/>
                <w:sz w:val="21"/>
                <w:szCs w:val="21"/>
                <w:highlight w:val="none"/>
                <w:lang w:val="en-US" w:eastAsia="zh-CN" w:bidi="ar"/>
              </w:rPr>
            </w:pPr>
            <w:r>
              <w:rPr>
                <w:rFonts w:hint="eastAsia" w:asciiTheme="minorEastAsia" w:hAnsiTheme="minorEastAsia" w:eastAsiaTheme="minorEastAsia" w:cstheme="minorEastAsia"/>
                <w:b/>
                <w:bCs/>
                <w:color w:val="0C0C0C"/>
                <w:kern w:val="0"/>
                <w:sz w:val="21"/>
                <w:szCs w:val="21"/>
                <w:highlight w:val="none"/>
                <w:lang w:val="en-US" w:eastAsia="zh-CN" w:bidi="ar"/>
              </w:rPr>
              <w:t>个体经营户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heme="minorEastAsia" w:hAnsiTheme="minorEastAsia" w:eastAsiaTheme="minorEastAsia" w:cstheme="minorEastAsia"/>
                <w:b/>
                <w:bCs/>
                <w:color w:val="0C0C0C"/>
                <w:kern w:val="0"/>
                <w:sz w:val="21"/>
                <w:szCs w:val="21"/>
                <w:highlight w:val="none"/>
                <w:lang w:val="en-US" w:eastAsia="zh-CN" w:bidi="ar"/>
              </w:rPr>
            </w:pPr>
            <w:r>
              <w:rPr>
                <w:rFonts w:hint="eastAsia" w:asciiTheme="minorEastAsia" w:hAnsiTheme="minorEastAsia" w:eastAsiaTheme="minorEastAsia" w:cstheme="minorEastAsia"/>
                <w:b/>
                <w:bCs/>
                <w:color w:val="0C0C0C"/>
                <w:kern w:val="0"/>
                <w:sz w:val="21"/>
                <w:szCs w:val="21"/>
                <w:highlight w:val="none"/>
                <w:lang w:val="en-US" w:eastAsia="zh-CN" w:bidi="ar"/>
              </w:rPr>
              <w:t>从业人员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heme="minorEastAsia" w:hAnsiTheme="minorEastAsia" w:eastAsiaTheme="minorEastAsia" w:cstheme="minorEastAsia"/>
                <w:b/>
                <w:bCs/>
                <w:color w:val="0C0C0C"/>
                <w:sz w:val="21"/>
                <w:szCs w:val="21"/>
                <w:highlight w:val="none"/>
              </w:rPr>
            </w:pPr>
            <w:r>
              <w:rPr>
                <w:rFonts w:hint="eastAsia" w:asciiTheme="minorEastAsia" w:hAnsiTheme="minorEastAsia" w:eastAsiaTheme="minorEastAsia" w:cstheme="minorEastAsia"/>
                <w:b/>
                <w:bCs/>
                <w:color w:val="0C0C0C"/>
                <w:kern w:val="0"/>
                <w:sz w:val="21"/>
                <w:szCs w:val="21"/>
                <w:highlight w:val="none"/>
                <w:lang w:val="en-US" w:eastAsia="zh-CN" w:bidi="ar"/>
              </w:rPr>
              <w:t>（人）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89" w:hRule="atLeast"/>
          <w:jc w:val="center"/>
        </w:trPr>
        <w:tc>
          <w:tcPr>
            <w:tcW w:w="4032" w:type="dxa"/>
            <w:vMerge w:val="continue"/>
            <w:tcBorders>
              <w:top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both"/>
              <w:textAlignment w:val="auto"/>
              <w:rPr>
                <w:rFonts w:hint="eastAsia" w:asciiTheme="minorEastAsia" w:hAnsiTheme="minorEastAsia" w:eastAsiaTheme="minorEastAsia" w:cstheme="minorEastAsia"/>
                <w:color w:val="0C0C0C"/>
                <w:sz w:val="21"/>
                <w:szCs w:val="21"/>
                <w:highlight w:val="none"/>
              </w:rPr>
            </w:pPr>
          </w:p>
        </w:tc>
        <w:tc>
          <w:tcPr>
            <w:tcW w:w="1484" w:type="dxa"/>
            <w:vMerge w:val="continue"/>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auto"/>
              <w:rPr>
                <w:rFonts w:hint="eastAsia" w:asciiTheme="minorEastAsia" w:hAnsiTheme="minorEastAsia" w:eastAsiaTheme="minorEastAsia" w:cstheme="minorEastAsia"/>
                <w:b/>
                <w:bCs/>
                <w:color w:val="0C0C0C"/>
                <w:sz w:val="21"/>
                <w:szCs w:val="21"/>
                <w:highlight w:val="none"/>
              </w:rPr>
            </w:pPr>
          </w:p>
        </w:tc>
        <w:tc>
          <w:tcPr>
            <w:tcW w:w="1403" w:type="dxa"/>
            <w:tcBorders>
              <w:top w:val="single" w:color="auto" w:sz="8" w:space="0"/>
              <w:left w:val="single" w:color="auto" w:sz="8" w:space="0"/>
              <w:bottom w:val="single" w:color="auto" w:sz="8" w:space="0"/>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heme="minorEastAsia" w:hAnsiTheme="minorEastAsia" w:eastAsiaTheme="minorEastAsia" w:cstheme="minorEastAsia"/>
                <w:b/>
                <w:bCs/>
                <w:color w:val="0C0C0C"/>
                <w:sz w:val="21"/>
                <w:szCs w:val="21"/>
                <w:highlight w:val="none"/>
              </w:rPr>
            </w:pPr>
            <w:r>
              <w:rPr>
                <w:rFonts w:hint="eastAsia" w:asciiTheme="minorEastAsia" w:hAnsiTheme="minorEastAsia" w:eastAsiaTheme="minorEastAsia" w:cstheme="minorEastAsia"/>
                <w:b/>
                <w:bCs/>
                <w:color w:val="0C0C0C"/>
                <w:kern w:val="0"/>
                <w:sz w:val="21"/>
                <w:szCs w:val="21"/>
                <w:highlight w:val="none"/>
                <w:lang w:val="en-US" w:eastAsia="zh-CN" w:bidi="ar"/>
              </w:rPr>
              <w:t>其中：女性</w:t>
            </w:r>
          </w:p>
        </w:tc>
        <w:tc>
          <w:tcPr>
            <w:tcW w:w="1701" w:type="dxa"/>
            <w:vMerge w:val="continue"/>
            <w:tcBorders>
              <w:top w:val="single" w:color="auto" w:sz="8" w:space="0"/>
              <w:left w:val="single" w:color="auto" w:sz="8" w:space="0"/>
              <w:bottom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auto"/>
              <w:rPr>
                <w:rFonts w:hint="eastAsia" w:asciiTheme="minorEastAsia" w:hAnsiTheme="minorEastAsia" w:eastAsiaTheme="minorEastAsia" w:cstheme="minorEastAsia"/>
                <w:b/>
                <w:bCs/>
                <w:color w:val="0C0C0C"/>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top w:val="single" w:color="auto" w:sz="8" w:space="0"/>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b/>
                <w:color w:val="0C0C0C"/>
                <w:kern w:val="0"/>
                <w:sz w:val="21"/>
                <w:szCs w:val="21"/>
                <w:highlight w:val="none"/>
                <w:lang w:val="en-US" w:eastAsia="zh-CN" w:bidi="ar"/>
              </w:rPr>
              <w:t>合　计</w:t>
            </w:r>
          </w:p>
        </w:tc>
        <w:tc>
          <w:tcPr>
            <w:tcW w:w="1484" w:type="dxa"/>
            <w:tcBorders>
              <w:top w:val="single" w:color="auto" w:sz="8" w:space="0"/>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b/>
                <w:bCs/>
                <w:i w:val="0"/>
                <w:iCs w:val="0"/>
                <w:color w:val="000000"/>
                <w:kern w:val="0"/>
                <w:sz w:val="21"/>
                <w:szCs w:val="21"/>
                <w:u w:val="none"/>
                <w:lang w:val="en" w:eastAsia="zh-CN" w:bidi="ar"/>
              </w:rPr>
            </w:pPr>
            <w:r>
              <w:rPr>
                <w:rFonts w:hint="default" w:ascii="Times New Roman" w:hAnsi="Times New Roman" w:cs="Times New Roman" w:eastAsiaTheme="minorEastAsia"/>
                <w:b/>
                <w:bCs/>
                <w:i w:val="0"/>
                <w:iCs w:val="0"/>
                <w:color w:val="000000"/>
                <w:kern w:val="0"/>
                <w:sz w:val="21"/>
                <w:szCs w:val="21"/>
                <w:u w:val="none"/>
                <w:lang w:val="en-US" w:eastAsia="zh-CN" w:bidi="ar"/>
              </w:rPr>
              <w:t>543303</w:t>
            </w:r>
          </w:p>
        </w:tc>
        <w:tc>
          <w:tcPr>
            <w:tcW w:w="1403" w:type="dxa"/>
            <w:tcBorders>
              <w:top w:val="single" w:color="auto" w:sz="8" w:space="0"/>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b/>
                <w:bCs/>
                <w:i w:val="0"/>
                <w:iCs w:val="0"/>
                <w:color w:val="000000"/>
                <w:kern w:val="0"/>
                <w:sz w:val="21"/>
                <w:szCs w:val="21"/>
                <w:u w:val="none"/>
                <w:lang w:val="en" w:eastAsia="zh-CN" w:bidi="ar"/>
              </w:rPr>
            </w:pPr>
            <w:r>
              <w:rPr>
                <w:rFonts w:hint="default" w:ascii="Times New Roman" w:hAnsi="Times New Roman" w:cs="Times New Roman" w:eastAsiaTheme="minorEastAsia"/>
                <w:b/>
                <w:bCs/>
                <w:i w:val="0"/>
                <w:iCs w:val="0"/>
                <w:color w:val="000000"/>
                <w:kern w:val="0"/>
                <w:sz w:val="21"/>
                <w:szCs w:val="21"/>
                <w:u w:val="none"/>
                <w:lang w:val="en-US" w:eastAsia="zh-CN" w:bidi="ar"/>
              </w:rPr>
              <w:t>215514</w:t>
            </w:r>
          </w:p>
        </w:tc>
        <w:tc>
          <w:tcPr>
            <w:tcW w:w="1701" w:type="dxa"/>
            <w:tcBorders>
              <w:top w:val="single" w:color="auto" w:sz="8" w:space="0"/>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b/>
                <w:bCs/>
                <w:i w:val="0"/>
                <w:iCs w:val="0"/>
                <w:color w:val="000000"/>
                <w:kern w:val="0"/>
                <w:sz w:val="21"/>
                <w:szCs w:val="21"/>
                <w:u w:val="none"/>
                <w:lang w:val="en" w:eastAsia="zh-CN" w:bidi="ar"/>
              </w:rPr>
            </w:pPr>
            <w:r>
              <w:rPr>
                <w:rFonts w:hint="default" w:ascii="Times New Roman" w:hAnsi="Times New Roman" w:cs="Times New Roman" w:eastAsiaTheme="minorEastAsia"/>
                <w:b/>
                <w:bCs/>
                <w:i w:val="0"/>
                <w:iCs w:val="0"/>
                <w:color w:val="000000"/>
                <w:kern w:val="0"/>
                <w:sz w:val="21"/>
                <w:szCs w:val="21"/>
                <w:u w:val="none"/>
                <w:lang w:val="en-US" w:eastAsia="zh-CN" w:bidi="ar"/>
              </w:rPr>
              <w:t>172688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kern w:val="0"/>
                <w:sz w:val="21"/>
                <w:szCs w:val="21"/>
                <w:highlight w:val="none"/>
                <w:lang w:val="en" w:eastAsia="zh-CN" w:bidi="ar"/>
              </w:rPr>
            </w:pPr>
            <w:r>
              <w:rPr>
                <w:rFonts w:hint="eastAsia" w:asciiTheme="minorEastAsia" w:hAnsiTheme="minorEastAsia" w:eastAsiaTheme="minorEastAsia" w:cstheme="minorEastAsia"/>
                <w:color w:val="0C0C0C"/>
                <w:kern w:val="0"/>
                <w:sz w:val="21"/>
                <w:szCs w:val="21"/>
                <w:highlight w:val="none"/>
                <w:lang w:val="en-US" w:eastAsia="zh-CN" w:bidi="ar"/>
              </w:rPr>
              <w:t>农、林、牧、渔业*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480</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167</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 xml:space="preserve">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采矿业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37</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5</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 xml:space="preserve">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制造业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180745</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68059</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 xml:space="preserve">43727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电力、热力、燃气及水生产和供应业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1886</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473</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 xml:space="preserve">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建筑业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63085</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12949</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 xml:space="preserve">3787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批发和零售业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68498</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28675</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 xml:space="preserve">67073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交通运输、仓储和邮政业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13477</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3563</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iCs w:val="0"/>
                <w:color w:val="000000"/>
                <w:kern w:val="0"/>
                <w:sz w:val="21"/>
                <w:szCs w:val="21"/>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 xml:space="preserve">10571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住宿和餐饮业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14151</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6806</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28854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信息传输、软件和信息技术服务业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7693</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3007</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309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金融业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335</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170</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US" w:eastAsia="zh-CN" w:bidi="ar-SA"/>
              </w:rPr>
            </w:pPr>
            <w:r>
              <w:rPr>
                <w:rFonts w:hint="default" w:ascii="Times New Roman" w:hAnsi="Times New Roman" w:cs="Times New Roman" w:eastAsiaTheme="minorEastAsia"/>
                <w:b w:val="0"/>
                <w:bCs w:val="0"/>
                <w:i w:val="0"/>
                <w:iCs w:val="0"/>
                <w:color w:val="000000"/>
                <w:kern w:val="0"/>
                <w:sz w:val="21"/>
                <w:szCs w:val="21"/>
                <w:u w:val="none"/>
                <w:lang w:val="en-US" w:eastAsia="zh-CN" w:bidi="ar"/>
              </w:rPr>
              <w:t>—</w:t>
            </w:r>
            <w:r>
              <w:rPr>
                <w:rFonts w:hint="default" w:ascii="Times New Roman" w:hAnsi="Times New Roman" w:cs="Times New Roman" w:eastAsiaTheme="minorEastAsia"/>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房地产业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32482</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15408</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132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租赁和商务服务业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47943</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16994</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3202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科学研究和技术服务业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20280</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6874</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596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水利、环境和公共设施管理业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2890</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1001</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176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居民服务、修理和其他服务业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11620</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5640</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11347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教育</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39936</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28180</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922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卫生和社会工作</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12630</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8531</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740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文化、体育和娱乐业</w:t>
            </w:r>
          </w:p>
        </w:tc>
        <w:tc>
          <w:tcPr>
            <w:tcW w:w="1484"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5289</w:t>
            </w:r>
          </w:p>
        </w:tc>
        <w:tc>
          <w:tcPr>
            <w:tcW w:w="1403" w:type="dxa"/>
            <w:tcBorders>
              <w:left w:val="single" w:color="auto" w:sz="8"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2463</w:t>
            </w:r>
          </w:p>
        </w:tc>
        <w:tc>
          <w:tcPr>
            <w:tcW w:w="1701" w:type="dxa"/>
            <w:tcBorders>
              <w:lef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1221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0" w:hRule="exact"/>
          <w:jc w:val="center"/>
        </w:trPr>
        <w:tc>
          <w:tcPr>
            <w:tcW w:w="4032" w:type="dxa"/>
            <w:tcBorders>
              <w:bottom w:val="single" w:color="auto" w:sz="12" w:space="0"/>
              <w:right w:val="single" w:color="auto" w:sz="8"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heme="minorEastAsia" w:hAnsiTheme="minorEastAsia" w:eastAsiaTheme="minorEastAsia" w:cstheme="minorEastAsia"/>
                <w:color w:val="0C0C0C"/>
                <w:sz w:val="21"/>
                <w:szCs w:val="21"/>
                <w:highlight w:val="none"/>
              </w:rPr>
            </w:pPr>
            <w:r>
              <w:rPr>
                <w:rFonts w:hint="eastAsia" w:asciiTheme="minorEastAsia" w:hAnsiTheme="minorEastAsia" w:eastAsiaTheme="minorEastAsia" w:cstheme="minorEastAsia"/>
                <w:color w:val="0C0C0C"/>
                <w:kern w:val="0"/>
                <w:sz w:val="21"/>
                <w:szCs w:val="21"/>
                <w:highlight w:val="none"/>
                <w:lang w:val="en-US" w:eastAsia="zh-CN" w:bidi="ar"/>
              </w:rPr>
              <w:t>公共管理、社会保障和社会组织</w:t>
            </w:r>
          </w:p>
        </w:tc>
        <w:tc>
          <w:tcPr>
            <w:tcW w:w="1484" w:type="dxa"/>
            <w:tcBorders>
              <w:left w:val="single" w:color="auto" w:sz="8" w:space="0"/>
              <w:bottom w:val="single" w:color="auto" w:sz="12"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0"/>
                <w:sz w:val="21"/>
                <w:szCs w:val="21"/>
                <w:highlight w:val="none"/>
                <w:u w:val="none"/>
                <w:lang w:val="en" w:eastAsia="zh-CN" w:bidi="ar"/>
              </w:rPr>
            </w:pPr>
            <w:r>
              <w:rPr>
                <w:rFonts w:hint="default" w:ascii="Times New Roman" w:hAnsi="Times New Roman" w:cs="Times New Roman" w:eastAsiaTheme="minorEastAsia"/>
                <w:i w:val="0"/>
                <w:iCs w:val="0"/>
                <w:color w:val="000000"/>
                <w:kern w:val="0"/>
                <w:sz w:val="21"/>
                <w:szCs w:val="21"/>
                <w:u w:val="none"/>
                <w:lang w:val="en-US" w:eastAsia="zh-CN" w:bidi="ar"/>
              </w:rPr>
              <w:t>19846</w:t>
            </w:r>
          </w:p>
        </w:tc>
        <w:tc>
          <w:tcPr>
            <w:tcW w:w="1403" w:type="dxa"/>
            <w:tcBorders>
              <w:left w:val="single" w:color="auto" w:sz="8" w:space="0"/>
              <w:bottom w:val="single" w:color="auto" w:sz="12" w:space="0"/>
              <w:right w:val="single" w:color="auto" w:sz="8"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color w:val="0C0C0C"/>
                <w:kern w:val="2"/>
                <w:sz w:val="21"/>
                <w:szCs w:val="21"/>
                <w:highlight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6549</w:t>
            </w:r>
          </w:p>
        </w:tc>
        <w:tc>
          <w:tcPr>
            <w:tcW w:w="1701" w:type="dxa"/>
            <w:tcBorders>
              <w:left w:val="single" w:color="auto" w:sz="8" w:space="0"/>
              <w:bottom w:val="single" w:color="auto" w:sz="12" w:space="0"/>
            </w:tcBorders>
            <w:vAlign w:val="center"/>
          </w:tcPr>
          <w:p>
            <w:pPr>
              <w:keepNext w:val="0"/>
              <w:keepLines w:val="0"/>
              <w:widowControl/>
              <w:suppressLineNumbers w:val="0"/>
              <w:spacing w:line="240" w:lineRule="auto"/>
              <w:ind w:left="0" w:right="0" w:firstLine="0" w:firstLineChars="0"/>
              <w:jc w:val="right"/>
              <w:textAlignment w:val="center"/>
              <w:rPr>
                <w:rFonts w:hint="default" w:ascii="Times New Roman" w:hAnsi="Times New Roman" w:cs="Times New Roman" w:eastAsiaTheme="minorEastAsia"/>
                <w:i w:val="0"/>
                <w:color w:val="0C0C0C"/>
                <w:kern w:val="2"/>
                <w:sz w:val="21"/>
                <w:szCs w:val="21"/>
                <w:highlight w:val="none"/>
                <w:u w:val="none"/>
                <w:lang w:val="en" w:eastAsia="zh-CN" w:bidi="ar-SA"/>
              </w:rPr>
            </w:pPr>
            <w:r>
              <w:rPr>
                <w:rFonts w:hint="default" w:ascii="Times New Roman" w:hAnsi="Times New Roman" w:cs="Times New Roman" w:eastAsiaTheme="minorEastAsia"/>
                <w:i w:val="0"/>
                <w:iCs w:val="0"/>
                <w:color w:val="000000"/>
                <w:kern w:val="0"/>
                <w:sz w:val="21"/>
                <w:szCs w:val="21"/>
                <w:u w:val="none"/>
                <w:lang w:val="en-US" w:eastAsia="zh-CN" w:bidi="ar"/>
              </w:rPr>
              <w:t xml:space="preserve"> </w:t>
            </w:r>
            <w:r>
              <w:rPr>
                <w:rFonts w:hint="default" w:ascii="Times New Roman" w:hAnsi="Times New Roman" w:cs="Times New Roman" w:eastAsiaTheme="minorEastAsia"/>
                <w:b w:val="0"/>
                <w:bCs w:val="0"/>
                <w:i w:val="0"/>
                <w:iCs w:val="0"/>
                <w:color w:val="000000"/>
                <w:kern w:val="0"/>
                <w:sz w:val="21"/>
                <w:szCs w:val="21"/>
                <w:u w:val="none"/>
                <w:lang w:val="en-US" w:eastAsia="zh-CN" w:bidi="ar"/>
              </w:rPr>
              <w:t>—</w:t>
            </w:r>
            <w:r>
              <w:rPr>
                <w:rFonts w:hint="default" w:ascii="Times New Roman" w:hAnsi="Times New Roman" w:cs="Times New Roman" w:eastAsiaTheme="minorEastAsia"/>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6" w:hRule="atLeast"/>
          <w:jc w:val="center"/>
        </w:trPr>
        <w:tc>
          <w:tcPr>
            <w:tcW w:w="8620" w:type="dxa"/>
            <w:gridSpan w:val="4"/>
            <w:tcBorders>
              <w:tl2br w:val="nil"/>
              <w:tr2bl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0C0C0C"/>
                <w:sz w:val="21"/>
                <w:szCs w:val="21"/>
                <w:highlight w:val="none"/>
              </w:rPr>
            </w:pPr>
            <w:r>
              <w:rPr>
                <w:rFonts w:hint="default" w:ascii="Times New Roman" w:hAnsi="Times New Roman" w:eastAsia="楷体" w:cs="Times New Roman"/>
                <w:color w:val="0C0C0C"/>
                <w:kern w:val="0"/>
                <w:sz w:val="21"/>
                <w:szCs w:val="21"/>
                <w:highlight w:val="none"/>
                <w:lang w:val="en-US" w:eastAsia="zh-CN" w:bidi="ar"/>
              </w:rPr>
              <w:t>注：表中农、林、牧、渔业仅包括从事农、林、牧、渔专业及辅助性活动的法人单位与个体经营户从业人员。表中房地产业包括房地产开发经营、物业管理、房地产中介服务、房地产租赁经营和其他房地产业。</w:t>
            </w:r>
          </w:p>
        </w:tc>
      </w:tr>
    </w:tbl>
    <w:p>
      <w:pPr>
        <w:pStyle w:val="2"/>
        <w:rPr>
          <w:rFonts w:hint="eastAsia"/>
          <w:lang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center"/>
        <w:outlineLvl w:val="9"/>
        <w:rPr>
          <w:rFonts w:hint="eastAsia" w:ascii="黑体" w:hAnsi="黑体" w:eastAsia="黑体" w:cs="黑体"/>
          <w:color w:val="0C0C0C"/>
          <w:sz w:val="32"/>
          <w:szCs w:val="32"/>
          <w:u w:val="none"/>
          <w:lang w:eastAsia="zh-CN"/>
        </w:rPr>
      </w:pPr>
      <w:r>
        <w:rPr>
          <w:rFonts w:hint="eastAsia" w:ascii="黑体" w:hAnsi="黑体" w:eastAsia="黑体" w:cs="黑体"/>
          <w:color w:val="0C0C0C"/>
          <w:sz w:val="32"/>
          <w:szCs w:val="32"/>
          <w:u w:val="none"/>
          <w:lang w:eastAsia="zh-CN"/>
        </w:rPr>
        <w:t>三、资产负债状况和营业收入</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center"/>
        <w:outlineLvl w:val="9"/>
        <w:rPr>
          <w:rFonts w:hint="eastAsia" w:ascii="Times New Roman" w:hAnsi="Times New Roman" w:eastAsia="仿宋_GB2312" w:cs="仿宋_GB2312"/>
          <w:color w:val="0C0C0C"/>
          <w:sz w:val="32"/>
          <w:szCs w:val="32"/>
          <w:u w:val="none"/>
          <w:lang w:eastAsia="zh-CN"/>
        </w:rPr>
      </w:pPr>
      <w:r>
        <w:rPr>
          <w:rFonts w:hint="eastAsia" w:ascii="Times New Roman" w:hAnsi="Times New Roman" w:eastAsia="仿宋_GB2312" w:cs="仿宋_GB2312"/>
          <w:color w:val="0C0C0C"/>
          <w:sz w:val="32"/>
          <w:szCs w:val="32"/>
          <w:u w:val="none"/>
          <w:lang w:eastAsia="zh-CN"/>
        </w:rPr>
        <w:t>2023年末，全</w:t>
      </w:r>
      <w:r>
        <w:rPr>
          <w:rFonts w:hint="eastAsia" w:ascii="Times New Roman" w:hAnsi="Times New Roman" w:eastAsia="仿宋_GB2312" w:cs="仿宋_GB2312"/>
          <w:color w:val="0C0C0C"/>
          <w:sz w:val="32"/>
          <w:szCs w:val="32"/>
          <w:u w:val="none"/>
          <w:lang w:val="en-US" w:eastAsia="zh-CN"/>
        </w:rPr>
        <w:t>区</w:t>
      </w:r>
      <w:r>
        <w:rPr>
          <w:rFonts w:hint="eastAsia" w:ascii="Times New Roman" w:hAnsi="Times New Roman" w:eastAsia="仿宋_GB2312" w:cs="仿宋_GB2312"/>
          <w:color w:val="0C0C0C"/>
          <w:sz w:val="32"/>
          <w:szCs w:val="32"/>
          <w:u w:val="none"/>
          <w:lang w:eastAsia="zh-CN"/>
        </w:rPr>
        <w:t>第二产业和第三产业法人单位资产总计</w:t>
      </w:r>
      <w:r>
        <w:rPr>
          <w:rFonts w:hint="eastAsia" w:ascii="Times New Roman" w:hAnsi="Times New Roman" w:eastAsia="仿宋_GB2312" w:cs="仿宋_GB2312"/>
          <w:color w:val="0C0C0C"/>
          <w:sz w:val="32"/>
          <w:szCs w:val="32"/>
          <w:u w:val="none"/>
          <w:lang w:val="en-US" w:eastAsia="zh-CN"/>
        </w:rPr>
        <w:t>15066.65</w:t>
      </w:r>
      <w:r>
        <w:rPr>
          <w:rFonts w:hint="eastAsia" w:ascii="Times New Roman" w:hAnsi="Times New Roman" w:eastAsia="仿宋_GB2312" w:cs="仿宋_GB2312"/>
          <w:color w:val="0C0C0C"/>
          <w:sz w:val="32"/>
          <w:szCs w:val="32"/>
          <w:u w:val="none"/>
          <w:lang w:eastAsia="zh-CN"/>
        </w:rPr>
        <w:t>亿元，比2018年末增加6546.68 亿元，增长</w:t>
      </w:r>
      <w:r>
        <w:rPr>
          <w:rFonts w:hint="eastAsia" w:ascii="Times New Roman" w:hAnsi="Times New Roman" w:eastAsia="仿宋_GB2312" w:cs="仿宋_GB2312"/>
          <w:color w:val="0C0C0C"/>
          <w:sz w:val="32"/>
          <w:szCs w:val="32"/>
          <w:u w:val="none"/>
          <w:lang w:val="en-US" w:eastAsia="zh-CN"/>
        </w:rPr>
        <w:t>76.8</w:t>
      </w:r>
      <w:r>
        <w:rPr>
          <w:rFonts w:hint="eastAsia" w:ascii="Times New Roman" w:hAnsi="Times New Roman" w:eastAsia="仿宋_GB2312" w:cs="仿宋_GB2312"/>
          <w:color w:val="0C0C0C"/>
          <w:sz w:val="32"/>
          <w:szCs w:val="32"/>
          <w:u w:val="none"/>
          <w:lang w:eastAsia="zh-CN"/>
        </w:rPr>
        <w:t>%。其中，第二产业法人单位资产总计</w:t>
      </w:r>
      <w:r>
        <w:rPr>
          <w:rFonts w:hint="eastAsia" w:ascii="Times New Roman" w:hAnsi="Times New Roman" w:eastAsia="仿宋_GB2312" w:cs="仿宋_GB2312"/>
          <w:color w:val="0C0C0C"/>
          <w:sz w:val="32"/>
          <w:szCs w:val="32"/>
          <w:u w:val="none"/>
          <w:lang w:val="en-US" w:eastAsia="zh-CN"/>
        </w:rPr>
        <w:t>3625.85</w:t>
      </w:r>
      <w:r>
        <w:rPr>
          <w:rFonts w:hint="eastAsia" w:ascii="Times New Roman" w:hAnsi="Times New Roman" w:eastAsia="仿宋_GB2312" w:cs="仿宋_GB2312"/>
          <w:color w:val="0C0C0C"/>
          <w:sz w:val="32"/>
          <w:szCs w:val="32"/>
          <w:u w:val="none"/>
          <w:lang w:eastAsia="zh-CN"/>
        </w:rPr>
        <w:t>亿元，增加</w:t>
      </w:r>
      <w:r>
        <w:rPr>
          <w:rFonts w:hint="eastAsia" w:ascii="Times New Roman" w:hAnsi="Times New Roman" w:eastAsia="仿宋_GB2312" w:cs="仿宋_GB2312"/>
          <w:color w:val="0C0C0C"/>
          <w:sz w:val="32"/>
          <w:szCs w:val="32"/>
          <w:u w:val="none"/>
          <w:lang w:val="en-US" w:eastAsia="zh-CN"/>
        </w:rPr>
        <w:t>1651.72</w:t>
      </w:r>
      <w:r>
        <w:rPr>
          <w:rFonts w:hint="eastAsia" w:ascii="Times New Roman" w:hAnsi="Times New Roman" w:eastAsia="仿宋_GB2312" w:cs="仿宋_GB2312"/>
          <w:color w:val="0C0C0C"/>
          <w:sz w:val="32"/>
          <w:szCs w:val="32"/>
          <w:u w:val="none"/>
          <w:lang w:eastAsia="zh-CN"/>
        </w:rPr>
        <w:t>亿元，增长</w:t>
      </w:r>
      <w:r>
        <w:rPr>
          <w:rFonts w:hint="eastAsia" w:ascii="Times New Roman" w:hAnsi="Times New Roman" w:eastAsia="仿宋_GB2312" w:cs="仿宋_GB2312"/>
          <w:color w:val="0C0C0C"/>
          <w:sz w:val="32"/>
          <w:szCs w:val="32"/>
          <w:u w:val="none"/>
          <w:lang w:val="en-US" w:eastAsia="zh-CN"/>
        </w:rPr>
        <w:t>83.7</w:t>
      </w:r>
      <w:r>
        <w:rPr>
          <w:rFonts w:hint="eastAsia" w:ascii="Times New Roman" w:hAnsi="Times New Roman" w:eastAsia="仿宋_GB2312" w:cs="仿宋_GB2312"/>
          <w:color w:val="0C0C0C"/>
          <w:sz w:val="32"/>
          <w:szCs w:val="32"/>
          <w:u w:val="none"/>
          <w:lang w:eastAsia="zh-CN"/>
        </w:rPr>
        <w:t>%；第三产业法人单位资产总计11440.8</w:t>
      </w:r>
      <w:r>
        <w:rPr>
          <w:rFonts w:hint="eastAsia" w:ascii="Times New Roman" w:hAnsi="Times New Roman" w:eastAsia="仿宋_GB2312" w:cs="仿宋_GB2312"/>
          <w:color w:val="0C0C0C"/>
          <w:sz w:val="32"/>
          <w:szCs w:val="32"/>
          <w:u w:val="none"/>
          <w:lang w:val="en-US" w:eastAsia="zh-CN"/>
        </w:rPr>
        <w:t>0</w:t>
      </w:r>
      <w:r>
        <w:rPr>
          <w:rFonts w:hint="eastAsia" w:ascii="Times New Roman" w:hAnsi="Times New Roman" w:eastAsia="仿宋_GB2312" w:cs="仿宋_GB2312"/>
          <w:color w:val="0C0C0C"/>
          <w:sz w:val="32"/>
          <w:szCs w:val="32"/>
          <w:u w:val="none"/>
          <w:lang w:eastAsia="zh-CN"/>
        </w:rPr>
        <w:t>亿元，增加</w:t>
      </w:r>
      <w:r>
        <w:rPr>
          <w:rFonts w:hint="eastAsia" w:ascii="Times New Roman" w:hAnsi="Times New Roman" w:eastAsia="仿宋_GB2312" w:cs="仿宋_GB2312"/>
          <w:color w:val="0C0C0C"/>
          <w:sz w:val="32"/>
          <w:szCs w:val="32"/>
          <w:u w:val="none"/>
          <w:lang w:val="en-US" w:eastAsia="zh-CN"/>
        </w:rPr>
        <w:t>4894.96</w:t>
      </w:r>
      <w:r>
        <w:rPr>
          <w:rFonts w:hint="eastAsia" w:ascii="Times New Roman" w:hAnsi="Times New Roman" w:eastAsia="仿宋_GB2312" w:cs="仿宋_GB2312"/>
          <w:color w:val="0C0C0C"/>
          <w:sz w:val="32"/>
          <w:szCs w:val="32"/>
          <w:u w:val="none"/>
          <w:lang w:eastAsia="zh-CN"/>
        </w:rPr>
        <w:t>亿元，增长</w:t>
      </w:r>
      <w:r>
        <w:rPr>
          <w:rFonts w:hint="eastAsia" w:ascii="Times New Roman" w:hAnsi="Times New Roman" w:eastAsia="仿宋_GB2312" w:cs="仿宋_GB2312"/>
          <w:color w:val="0C0C0C"/>
          <w:sz w:val="32"/>
          <w:szCs w:val="32"/>
          <w:u w:val="none"/>
          <w:lang w:val="en-US" w:eastAsia="zh-CN"/>
        </w:rPr>
        <w:t>74.8</w:t>
      </w:r>
      <w:r>
        <w:rPr>
          <w:rFonts w:hint="eastAsia" w:ascii="Times New Roman" w:hAnsi="Times New Roman" w:eastAsia="仿宋_GB2312" w:cs="仿宋_GB2312"/>
          <w:color w:val="0C0C0C"/>
          <w:sz w:val="32"/>
          <w:szCs w:val="32"/>
          <w:u w:val="none"/>
          <w:lang w:eastAsia="zh-CN"/>
        </w:rPr>
        <w:t>%。</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center"/>
        <w:outlineLvl w:val="9"/>
        <w:rPr>
          <w:rFonts w:hint="eastAsia" w:ascii="Times New Roman" w:hAnsi="Times New Roman" w:eastAsia="仿宋_GB2312" w:cs="仿宋_GB2312"/>
          <w:color w:val="0C0C0C"/>
          <w:sz w:val="32"/>
          <w:szCs w:val="32"/>
          <w:u w:val="none"/>
          <w:lang w:eastAsia="zh-CN"/>
        </w:rPr>
      </w:pPr>
      <w:r>
        <w:rPr>
          <w:rFonts w:hint="eastAsia" w:ascii="Times New Roman" w:hAnsi="Times New Roman" w:eastAsia="仿宋_GB2312" w:cs="仿宋_GB2312"/>
          <w:color w:val="0C0C0C"/>
          <w:sz w:val="32"/>
          <w:szCs w:val="32"/>
          <w:u w:val="none"/>
          <w:lang w:eastAsia="zh-CN"/>
        </w:rPr>
        <w:t>2023年末，全</w:t>
      </w:r>
      <w:r>
        <w:rPr>
          <w:rFonts w:hint="eastAsia" w:ascii="Times New Roman" w:hAnsi="Times New Roman" w:eastAsia="仿宋_GB2312" w:cs="仿宋_GB2312"/>
          <w:color w:val="0C0C0C"/>
          <w:sz w:val="32"/>
          <w:szCs w:val="32"/>
          <w:u w:val="none"/>
          <w:lang w:val="en-US" w:eastAsia="zh-CN"/>
        </w:rPr>
        <w:t>区</w:t>
      </w:r>
      <w:r>
        <w:rPr>
          <w:rFonts w:hint="eastAsia" w:ascii="Times New Roman" w:hAnsi="Times New Roman" w:eastAsia="仿宋_GB2312" w:cs="仿宋_GB2312"/>
          <w:color w:val="0C0C0C"/>
          <w:sz w:val="32"/>
          <w:szCs w:val="32"/>
          <w:u w:val="none"/>
          <w:lang w:eastAsia="zh-CN"/>
        </w:rPr>
        <w:t>第二产业和第三产业法人单位负债合计</w:t>
      </w:r>
      <w:r>
        <w:rPr>
          <w:rFonts w:hint="eastAsia" w:ascii="Times New Roman" w:hAnsi="Times New Roman" w:eastAsia="仿宋_GB2312" w:cs="仿宋_GB2312"/>
          <w:color w:val="0C0C0C"/>
          <w:sz w:val="32"/>
          <w:szCs w:val="32"/>
          <w:u w:val="none"/>
          <w:lang w:val="en-US" w:eastAsia="zh-CN"/>
        </w:rPr>
        <w:t>9869.54</w:t>
      </w:r>
      <w:r>
        <w:rPr>
          <w:rFonts w:hint="eastAsia" w:ascii="Times New Roman" w:hAnsi="Times New Roman" w:eastAsia="仿宋_GB2312" w:cs="仿宋_GB2312"/>
          <w:color w:val="0C0C0C"/>
          <w:sz w:val="32"/>
          <w:szCs w:val="32"/>
          <w:u w:val="none"/>
          <w:lang w:eastAsia="zh-CN"/>
        </w:rPr>
        <w:t>亿元,比2018年末增加</w:t>
      </w:r>
      <w:r>
        <w:rPr>
          <w:rFonts w:hint="eastAsia" w:ascii="Times New Roman" w:hAnsi="Times New Roman" w:eastAsia="仿宋_GB2312" w:cs="仿宋_GB2312"/>
          <w:color w:val="0C0C0C"/>
          <w:sz w:val="32"/>
          <w:szCs w:val="32"/>
          <w:u w:val="none"/>
          <w:lang w:val="en-US" w:eastAsia="zh-CN"/>
        </w:rPr>
        <w:t>4123.2</w:t>
      </w:r>
      <w:r>
        <w:rPr>
          <w:rFonts w:hint="eastAsia" w:ascii="Times New Roman" w:hAnsi="Times New Roman" w:eastAsia="仿宋_GB2312" w:cs="仿宋_GB2312"/>
          <w:color w:val="0C0C0C"/>
          <w:sz w:val="32"/>
          <w:szCs w:val="32"/>
          <w:u w:val="none"/>
          <w:lang w:eastAsia="zh-CN"/>
        </w:rPr>
        <w:t>亿元，增长</w:t>
      </w:r>
      <w:r>
        <w:rPr>
          <w:rFonts w:hint="eastAsia" w:ascii="Times New Roman" w:hAnsi="Times New Roman" w:eastAsia="仿宋_GB2312" w:cs="仿宋_GB2312"/>
          <w:color w:val="0C0C0C"/>
          <w:sz w:val="32"/>
          <w:szCs w:val="32"/>
          <w:u w:val="none"/>
          <w:lang w:val="en-US" w:eastAsia="zh-CN"/>
        </w:rPr>
        <w:t>71.8</w:t>
      </w:r>
      <w:r>
        <w:rPr>
          <w:rFonts w:hint="eastAsia" w:ascii="Times New Roman" w:hAnsi="Times New Roman" w:eastAsia="仿宋_GB2312" w:cs="仿宋_GB2312"/>
          <w:color w:val="0C0C0C"/>
          <w:sz w:val="32"/>
          <w:szCs w:val="32"/>
          <w:u w:val="none"/>
          <w:lang w:eastAsia="zh-CN"/>
        </w:rPr>
        <w:t>%。其中，第二产业法人单位负债合计</w:t>
      </w:r>
      <w:r>
        <w:rPr>
          <w:rFonts w:hint="eastAsia" w:ascii="Times New Roman" w:hAnsi="Times New Roman" w:eastAsia="仿宋_GB2312" w:cs="仿宋_GB2312"/>
          <w:color w:val="0C0C0C"/>
          <w:sz w:val="32"/>
          <w:szCs w:val="32"/>
          <w:u w:val="none"/>
          <w:lang w:val="en-US" w:eastAsia="zh-CN"/>
        </w:rPr>
        <w:t>2369.95</w:t>
      </w:r>
      <w:r>
        <w:rPr>
          <w:rFonts w:hint="eastAsia" w:ascii="Times New Roman" w:hAnsi="Times New Roman" w:eastAsia="仿宋_GB2312" w:cs="仿宋_GB2312"/>
          <w:color w:val="0C0C0C"/>
          <w:sz w:val="32"/>
          <w:szCs w:val="32"/>
          <w:u w:val="none"/>
          <w:lang w:eastAsia="zh-CN"/>
        </w:rPr>
        <w:t>亿元，增加</w:t>
      </w:r>
      <w:r>
        <w:rPr>
          <w:rFonts w:hint="eastAsia" w:ascii="Times New Roman" w:hAnsi="Times New Roman" w:eastAsia="仿宋_GB2312" w:cs="仿宋_GB2312"/>
          <w:color w:val="0C0C0C"/>
          <w:sz w:val="32"/>
          <w:szCs w:val="32"/>
          <w:u w:val="none"/>
          <w:lang w:val="en-US" w:eastAsia="zh-CN"/>
        </w:rPr>
        <w:t>1174.72</w:t>
      </w:r>
      <w:r>
        <w:rPr>
          <w:rFonts w:hint="eastAsia" w:ascii="Times New Roman" w:hAnsi="Times New Roman" w:eastAsia="仿宋_GB2312" w:cs="仿宋_GB2312"/>
          <w:color w:val="0C0C0C"/>
          <w:sz w:val="32"/>
          <w:szCs w:val="32"/>
          <w:u w:val="none"/>
          <w:lang w:eastAsia="zh-CN"/>
        </w:rPr>
        <w:t>亿元，增长</w:t>
      </w:r>
      <w:r>
        <w:rPr>
          <w:rFonts w:hint="eastAsia" w:ascii="Times New Roman" w:hAnsi="Times New Roman" w:eastAsia="仿宋_GB2312" w:cs="仿宋_GB2312"/>
          <w:color w:val="0C0C0C"/>
          <w:sz w:val="32"/>
          <w:szCs w:val="32"/>
          <w:u w:val="none"/>
          <w:lang w:val="en-US" w:eastAsia="zh-CN"/>
        </w:rPr>
        <w:t>98.3</w:t>
      </w:r>
      <w:r>
        <w:rPr>
          <w:rFonts w:hint="eastAsia" w:ascii="Times New Roman" w:hAnsi="Times New Roman" w:eastAsia="仿宋_GB2312" w:cs="仿宋_GB2312"/>
          <w:color w:val="0C0C0C"/>
          <w:sz w:val="32"/>
          <w:szCs w:val="32"/>
          <w:u w:val="none"/>
          <w:lang w:eastAsia="zh-CN"/>
        </w:rPr>
        <w:t>%；第三产业法人单位负债合计</w:t>
      </w:r>
      <w:r>
        <w:rPr>
          <w:rFonts w:hint="eastAsia" w:ascii="Times New Roman" w:hAnsi="Times New Roman" w:eastAsia="仿宋_GB2312" w:cs="仿宋_GB2312"/>
          <w:color w:val="0C0C0C"/>
          <w:sz w:val="32"/>
          <w:szCs w:val="32"/>
          <w:u w:val="none"/>
          <w:lang w:val="en-US" w:eastAsia="zh-CN"/>
        </w:rPr>
        <w:t>7499.59</w:t>
      </w:r>
      <w:r>
        <w:rPr>
          <w:rFonts w:hint="eastAsia" w:ascii="Times New Roman" w:hAnsi="Times New Roman" w:eastAsia="仿宋_GB2312" w:cs="仿宋_GB2312"/>
          <w:color w:val="0C0C0C"/>
          <w:sz w:val="32"/>
          <w:szCs w:val="32"/>
          <w:u w:val="none"/>
          <w:lang w:eastAsia="zh-CN"/>
        </w:rPr>
        <w:t>亿元，增加</w:t>
      </w:r>
      <w:r>
        <w:rPr>
          <w:rFonts w:hint="eastAsia" w:ascii="Times New Roman" w:hAnsi="Times New Roman" w:eastAsia="仿宋_GB2312" w:cs="仿宋_GB2312"/>
          <w:color w:val="0C0C0C"/>
          <w:sz w:val="32"/>
          <w:szCs w:val="32"/>
          <w:u w:val="none"/>
          <w:lang w:val="en-US" w:eastAsia="zh-CN"/>
        </w:rPr>
        <w:t>2948.49</w:t>
      </w:r>
      <w:r>
        <w:rPr>
          <w:rFonts w:hint="eastAsia" w:ascii="Times New Roman" w:hAnsi="Times New Roman" w:eastAsia="仿宋_GB2312" w:cs="仿宋_GB2312"/>
          <w:color w:val="0C0C0C"/>
          <w:sz w:val="32"/>
          <w:szCs w:val="32"/>
          <w:u w:val="none"/>
          <w:lang w:eastAsia="zh-CN"/>
        </w:rPr>
        <w:t>亿元，增长</w:t>
      </w:r>
      <w:r>
        <w:rPr>
          <w:rFonts w:hint="eastAsia" w:ascii="Times New Roman" w:hAnsi="Times New Roman" w:eastAsia="仿宋_GB2312" w:cs="仿宋_GB2312"/>
          <w:color w:val="0C0C0C"/>
          <w:sz w:val="32"/>
          <w:szCs w:val="32"/>
          <w:u w:val="none"/>
          <w:lang w:val="en-US" w:eastAsia="zh-CN"/>
        </w:rPr>
        <w:t>64.8</w:t>
      </w:r>
      <w:r>
        <w:rPr>
          <w:rFonts w:hint="eastAsia" w:ascii="Times New Roman" w:hAnsi="Times New Roman" w:eastAsia="仿宋_GB2312" w:cs="仿宋_GB2312"/>
          <w:color w:val="0C0C0C"/>
          <w:sz w:val="32"/>
          <w:szCs w:val="32"/>
          <w:u w:val="none"/>
          <w:lang w:eastAsia="zh-CN"/>
        </w:rPr>
        <w:t>%。</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center"/>
        <w:outlineLvl w:val="9"/>
        <w:rPr>
          <w:rFonts w:hint="eastAsia" w:ascii="Times New Roman" w:hAnsi="Times New Roman" w:eastAsia="仿宋_GB2312" w:cs="仿宋_GB2312"/>
          <w:color w:val="0C0C0C"/>
          <w:sz w:val="32"/>
          <w:szCs w:val="32"/>
          <w:u w:val="none"/>
          <w:lang w:eastAsia="zh-CN"/>
        </w:rPr>
      </w:pPr>
      <w:r>
        <w:rPr>
          <w:rFonts w:hint="eastAsia" w:ascii="Times New Roman" w:hAnsi="Times New Roman" w:eastAsia="仿宋_GB2312" w:cs="仿宋_GB2312"/>
          <w:color w:val="0C0C0C"/>
          <w:sz w:val="32"/>
          <w:szCs w:val="32"/>
          <w:u w:val="none"/>
          <w:lang w:eastAsia="zh-CN"/>
        </w:rPr>
        <w:t>2023年，全</w:t>
      </w:r>
      <w:r>
        <w:rPr>
          <w:rFonts w:hint="eastAsia" w:ascii="Times New Roman" w:hAnsi="Times New Roman" w:eastAsia="仿宋_GB2312" w:cs="仿宋_GB2312"/>
          <w:color w:val="0C0C0C"/>
          <w:sz w:val="32"/>
          <w:szCs w:val="32"/>
          <w:u w:val="none"/>
          <w:lang w:val="en-US" w:eastAsia="zh-CN"/>
        </w:rPr>
        <w:t>区</w:t>
      </w:r>
      <w:r>
        <w:rPr>
          <w:rFonts w:hint="eastAsia" w:ascii="Times New Roman" w:hAnsi="Times New Roman" w:eastAsia="仿宋_GB2312" w:cs="仿宋_GB2312"/>
          <w:color w:val="0C0C0C"/>
          <w:sz w:val="32"/>
          <w:szCs w:val="32"/>
          <w:u w:val="none"/>
          <w:lang w:eastAsia="zh-CN"/>
        </w:rPr>
        <w:t>第二产业和第三产业企业法人单位实现营业收入</w:t>
      </w:r>
      <w:r>
        <w:rPr>
          <w:rFonts w:hint="eastAsia" w:ascii="Times New Roman" w:hAnsi="Times New Roman" w:eastAsia="仿宋_GB2312" w:cs="仿宋_GB2312"/>
          <w:color w:val="0C0C0C"/>
          <w:sz w:val="32"/>
          <w:szCs w:val="32"/>
          <w:u w:val="none"/>
          <w:lang w:val="en-US" w:eastAsia="zh-CN"/>
        </w:rPr>
        <w:t>17647.87</w:t>
      </w:r>
      <w:r>
        <w:rPr>
          <w:rFonts w:hint="eastAsia" w:ascii="Times New Roman" w:hAnsi="Times New Roman" w:eastAsia="仿宋_GB2312" w:cs="仿宋_GB2312"/>
          <w:color w:val="0C0C0C"/>
          <w:sz w:val="32"/>
          <w:szCs w:val="32"/>
          <w:u w:val="none"/>
          <w:lang w:eastAsia="zh-CN"/>
        </w:rPr>
        <w:t>亿元，比2018年增加</w:t>
      </w:r>
      <w:r>
        <w:rPr>
          <w:rFonts w:hint="eastAsia" w:ascii="Times New Roman" w:hAnsi="Times New Roman" w:eastAsia="仿宋_GB2312" w:cs="仿宋_GB2312"/>
          <w:color w:val="0C0C0C"/>
          <w:sz w:val="32"/>
          <w:szCs w:val="32"/>
          <w:u w:val="none"/>
          <w:lang w:val="en-US" w:eastAsia="zh-CN"/>
        </w:rPr>
        <w:t>13893.93</w:t>
      </w:r>
      <w:r>
        <w:rPr>
          <w:rFonts w:hint="eastAsia" w:ascii="Times New Roman" w:hAnsi="Times New Roman" w:eastAsia="仿宋_GB2312" w:cs="仿宋_GB2312"/>
          <w:color w:val="0C0C0C"/>
          <w:sz w:val="32"/>
          <w:szCs w:val="32"/>
          <w:u w:val="none"/>
          <w:lang w:eastAsia="zh-CN"/>
        </w:rPr>
        <w:t>亿元，增长</w:t>
      </w:r>
      <w:r>
        <w:rPr>
          <w:rFonts w:hint="eastAsia" w:ascii="Times New Roman" w:hAnsi="Times New Roman" w:eastAsia="仿宋_GB2312" w:cs="仿宋_GB2312"/>
          <w:color w:val="0C0C0C"/>
          <w:sz w:val="32"/>
          <w:szCs w:val="32"/>
          <w:u w:val="none"/>
          <w:lang w:val="en-US" w:eastAsia="zh-CN"/>
        </w:rPr>
        <w:t>3.7倍</w:t>
      </w:r>
      <w:r>
        <w:rPr>
          <w:rFonts w:hint="eastAsia" w:ascii="Times New Roman" w:hAnsi="Times New Roman" w:eastAsia="仿宋_GB2312" w:cs="仿宋_GB2312"/>
          <w:color w:val="0C0C0C"/>
          <w:sz w:val="32"/>
          <w:szCs w:val="32"/>
          <w:u w:val="none"/>
          <w:lang w:eastAsia="zh-CN"/>
        </w:rPr>
        <w:t>。其中，第二产业营业收入</w:t>
      </w:r>
      <w:r>
        <w:rPr>
          <w:rFonts w:hint="eastAsia" w:ascii="Times New Roman" w:hAnsi="Times New Roman" w:eastAsia="仿宋_GB2312" w:cs="仿宋_GB2312"/>
          <w:color w:val="0C0C0C"/>
          <w:sz w:val="32"/>
          <w:szCs w:val="32"/>
          <w:u w:val="none"/>
          <w:lang w:val="en-US" w:eastAsia="zh-CN"/>
        </w:rPr>
        <w:t>2850.21</w:t>
      </w:r>
      <w:r>
        <w:rPr>
          <w:rFonts w:hint="eastAsia" w:ascii="Times New Roman" w:hAnsi="Times New Roman" w:eastAsia="仿宋_GB2312" w:cs="仿宋_GB2312"/>
          <w:color w:val="0C0C0C"/>
          <w:sz w:val="32"/>
          <w:szCs w:val="32"/>
          <w:u w:val="none"/>
          <w:lang w:eastAsia="zh-CN"/>
        </w:rPr>
        <w:t>亿元，增加</w:t>
      </w:r>
      <w:r>
        <w:rPr>
          <w:rFonts w:hint="eastAsia" w:ascii="Times New Roman" w:hAnsi="Times New Roman" w:eastAsia="仿宋_GB2312" w:cs="仿宋_GB2312"/>
          <w:color w:val="0C0C0C"/>
          <w:sz w:val="32"/>
          <w:szCs w:val="32"/>
          <w:u w:val="none"/>
          <w:lang w:val="en-US" w:eastAsia="zh-CN"/>
        </w:rPr>
        <w:t>1326.31</w:t>
      </w:r>
      <w:r>
        <w:rPr>
          <w:rFonts w:hint="eastAsia" w:ascii="Times New Roman" w:hAnsi="Times New Roman" w:eastAsia="仿宋_GB2312" w:cs="仿宋_GB2312"/>
          <w:color w:val="0C0C0C"/>
          <w:sz w:val="32"/>
          <w:szCs w:val="32"/>
          <w:u w:val="none"/>
          <w:lang w:eastAsia="zh-CN"/>
        </w:rPr>
        <w:t>亿元，增长</w:t>
      </w:r>
      <w:r>
        <w:rPr>
          <w:rFonts w:hint="eastAsia" w:ascii="Times New Roman" w:hAnsi="Times New Roman" w:eastAsia="仿宋_GB2312" w:cs="仿宋_GB2312"/>
          <w:color w:val="0C0C0C"/>
          <w:sz w:val="32"/>
          <w:szCs w:val="32"/>
          <w:u w:val="none"/>
          <w:lang w:val="en-US" w:eastAsia="zh-CN"/>
        </w:rPr>
        <w:t>87.0</w:t>
      </w:r>
      <w:r>
        <w:rPr>
          <w:rFonts w:hint="eastAsia" w:ascii="Times New Roman" w:hAnsi="Times New Roman" w:eastAsia="仿宋_GB2312" w:cs="仿宋_GB2312"/>
          <w:color w:val="0C0C0C"/>
          <w:sz w:val="32"/>
          <w:szCs w:val="32"/>
          <w:u w:val="none"/>
          <w:lang w:eastAsia="zh-CN"/>
        </w:rPr>
        <w:t>%；第三产业营业收入</w:t>
      </w:r>
      <w:r>
        <w:rPr>
          <w:rFonts w:hint="eastAsia" w:ascii="Times New Roman" w:hAnsi="Times New Roman" w:eastAsia="仿宋_GB2312" w:cs="仿宋_GB2312"/>
          <w:color w:val="0C0C0C"/>
          <w:sz w:val="32"/>
          <w:szCs w:val="32"/>
          <w:u w:val="none"/>
          <w:lang w:val="en-US" w:eastAsia="zh-CN"/>
        </w:rPr>
        <w:t>14797.66</w:t>
      </w:r>
      <w:r>
        <w:rPr>
          <w:rFonts w:hint="eastAsia" w:ascii="Times New Roman" w:hAnsi="Times New Roman" w:eastAsia="仿宋_GB2312" w:cs="仿宋_GB2312"/>
          <w:color w:val="0C0C0C"/>
          <w:sz w:val="32"/>
          <w:szCs w:val="32"/>
          <w:u w:val="none"/>
          <w:lang w:eastAsia="zh-CN"/>
        </w:rPr>
        <w:t>亿元，增加</w:t>
      </w:r>
      <w:r>
        <w:rPr>
          <w:rFonts w:hint="eastAsia" w:ascii="Times New Roman" w:hAnsi="Times New Roman" w:eastAsia="仿宋_GB2312" w:cs="仿宋_GB2312"/>
          <w:color w:val="0C0C0C"/>
          <w:sz w:val="32"/>
          <w:szCs w:val="32"/>
          <w:u w:val="none"/>
          <w:lang w:val="en-US" w:eastAsia="zh-CN"/>
        </w:rPr>
        <w:t>12567.61</w:t>
      </w:r>
      <w:r>
        <w:rPr>
          <w:rFonts w:hint="eastAsia" w:ascii="Times New Roman" w:hAnsi="Times New Roman" w:eastAsia="仿宋_GB2312" w:cs="仿宋_GB2312"/>
          <w:color w:val="0C0C0C"/>
          <w:sz w:val="32"/>
          <w:szCs w:val="32"/>
          <w:u w:val="none"/>
          <w:lang w:eastAsia="zh-CN"/>
        </w:rPr>
        <w:t>亿元，增长</w:t>
      </w:r>
      <w:r>
        <w:rPr>
          <w:rFonts w:hint="eastAsia" w:ascii="Times New Roman" w:hAnsi="Times New Roman" w:eastAsia="仿宋_GB2312" w:cs="仿宋_GB2312"/>
          <w:color w:val="0C0C0C"/>
          <w:sz w:val="32"/>
          <w:szCs w:val="32"/>
          <w:u w:val="none"/>
          <w:lang w:val="en-US" w:eastAsia="zh-CN"/>
        </w:rPr>
        <w:t>5.6倍</w:t>
      </w:r>
      <w:r>
        <w:rPr>
          <w:rFonts w:hint="eastAsia" w:ascii="Times New Roman" w:hAnsi="Times New Roman" w:eastAsia="仿宋_GB2312" w:cs="仿宋_GB2312"/>
          <w:color w:val="0C0C0C"/>
          <w:sz w:val="32"/>
          <w:szCs w:val="32"/>
          <w:u w:val="none"/>
          <w:lang w:eastAsia="zh-CN"/>
        </w:rPr>
        <w:t>（详见表2-4）。</w:t>
      </w:r>
    </w:p>
    <w:p>
      <w:pPr>
        <w:rPr>
          <w:rFonts w:hint="eastAsia" w:ascii="Times New Roman" w:hAnsi="Times New Roman" w:eastAsia="仿宋_GB2312" w:cs="仿宋_GB2312"/>
          <w:color w:val="0C0C0C"/>
          <w:sz w:val="32"/>
          <w:szCs w:val="32"/>
          <w:u w:val="none"/>
          <w:lang w:eastAsia="zh-CN"/>
        </w:rPr>
      </w:pPr>
    </w:p>
    <w:p>
      <w:pPr>
        <w:pStyle w:val="2"/>
        <w:rPr>
          <w:rFonts w:hint="eastAsia"/>
          <w:lang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6" w:right="6" w:firstLine="0" w:firstLineChars="0"/>
        <w:jc w:val="center"/>
        <w:textAlignment w:val="auto"/>
        <w:rPr>
          <w:rFonts w:hint="eastAsia" w:ascii="Times New Roman" w:hAnsi="Times New Roman" w:eastAsiaTheme="minorEastAsia" w:cstheme="minorEastAsia"/>
          <w:b/>
          <w:bCs w:val="0"/>
          <w:i w:val="0"/>
          <w:caps w:val="0"/>
          <w:color w:val="0C0C0C"/>
          <w:spacing w:val="0"/>
          <w:kern w:val="0"/>
          <w:sz w:val="24"/>
          <w:szCs w:val="24"/>
          <w:highlight w:val="none"/>
          <w:lang w:val="en-US" w:eastAsia="zh-CN" w:bidi="ar"/>
        </w:rPr>
      </w:pPr>
      <w:r>
        <w:rPr>
          <w:rFonts w:hint="eastAsia" w:ascii="Times New Roman" w:hAnsi="Times New Roman" w:eastAsiaTheme="minorEastAsia" w:cstheme="minorEastAsia"/>
          <w:b/>
          <w:bCs w:val="0"/>
          <w:i w:val="0"/>
          <w:caps w:val="0"/>
          <w:color w:val="0C0C0C"/>
          <w:spacing w:val="0"/>
          <w:kern w:val="0"/>
          <w:sz w:val="24"/>
          <w:szCs w:val="24"/>
          <w:highlight w:val="none"/>
          <w:lang w:val="en-US" w:eastAsia="zh-CN" w:bidi="ar"/>
        </w:rPr>
        <w:t>表2-4　按行业门类分组的单位主要经济指标</w:t>
      </w:r>
    </w:p>
    <w:tbl>
      <w:tblPr>
        <w:tblStyle w:val="11"/>
        <w:tblW w:w="8834"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4034"/>
        <w:gridCol w:w="1599"/>
        <w:gridCol w:w="1599"/>
        <w:gridCol w:w="1602"/>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PrEx>
        <w:trPr>
          <w:cantSplit/>
          <w:trHeight w:val="23" w:hRule="atLeast"/>
          <w:jc w:val="center"/>
        </w:trPr>
        <w:tc>
          <w:tcPr>
            <w:tcW w:w="4034" w:type="dxa"/>
            <w:tcBorders>
              <w:top w:val="single" w:color="auto" w:sz="12" w:space="0"/>
              <w:left w:val="nil"/>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color w:val="0C0C0C"/>
                <w:sz w:val="21"/>
                <w:szCs w:val="21"/>
                <w:highlight w:val="none"/>
              </w:rPr>
            </w:pPr>
          </w:p>
        </w:tc>
        <w:tc>
          <w:tcPr>
            <w:tcW w:w="1599"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资产总计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（亿元）</w:t>
            </w:r>
          </w:p>
        </w:tc>
        <w:tc>
          <w:tcPr>
            <w:tcW w:w="1599"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负债合计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（亿元）</w:t>
            </w:r>
          </w:p>
        </w:tc>
        <w:tc>
          <w:tcPr>
            <w:tcW w:w="1602" w:type="dxa"/>
            <w:tcBorders>
              <w:top w:val="single" w:color="auto" w:sz="12" w:space="0"/>
              <w:left w:val="single" w:color="auto" w:sz="4" w:space="0"/>
              <w:bottom w:val="single" w:color="auto" w:sz="4" w:space="0"/>
              <w:right w:val="nil"/>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企业法人单位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营业收入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b/>
                <w:bCs/>
                <w:color w:val="0C0C0C"/>
                <w:sz w:val="21"/>
                <w:szCs w:val="21"/>
                <w:highlight w:val="none"/>
              </w:rPr>
            </w:pPr>
            <w:r>
              <w:rPr>
                <w:rFonts w:hint="eastAsia" w:ascii="Times New Roman" w:hAnsi="Times New Roman" w:eastAsiaTheme="minorEastAsia" w:cstheme="minorEastAsia"/>
                <w:b/>
                <w:bCs/>
                <w:color w:val="0C0C0C"/>
                <w:kern w:val="0"/>
                <w:sz w:val="21"/>
                <w:szCs w:val="21"/>
                <w:highlight w:val="none"/>
                <w:lang w:val="en-US" w:eastAsia="zh-CN" w:bidi="ar"/>
              </w:rPr>
              <w:t>（亿元）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single" w:color="auto" w:sz="4" w:space="0"/>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b/>
                <w:color w:val="0C0C0C"/>
                <w:kern w:val="0"/>
                <w:sz w:val="21"/>
                <w:szCs w:val="21"/>
                <w:highlight w:val="none"/>
                <w:lang w:val="en-US" w:eastAsia="zh-CN" w:bidi="ar"/>
              </w:rPr>
              <w:t>合　计</w:t>
            </w:r>
          </w:p>
        </w:tc>
        <w:tc>
          <w:tcPr>
            <w:tcW w:w="1599"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cs="Times New Roman" w:eastAsiaTheme="minorEastAsia"/>
                <w:b/>
                <w:bCs/>
                <w:i w:val="0"/>
                <w:color w:val="0C0C0C"/>
                <w:kern w:val="2"/>
                <w:sz w:val="21"/>
                <w:szCs w:val="21"/>
                <w:highlight w:val="none"/>
                <w:u w:val="none"/>
                <w:lang w:val="en"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 xml:space="preserve">15066.65 </w:t>
            </w:r>
          </w:p>
        </w:tc>
        <w:tc>
          <w:tcPr>
            <w:tcW w:w="1599" w:type="dxa"/>
            <w:tcBorders>
              <w:top w:val="single" w:color="auto" w:sz="4" w:space="0"/>
              <w:left w:val="single" w:color="auto" w:sz="4" w:space="0"/>
              <w:bottom w:val="nil"/>
              <w:right w:val="single" w:color="auto" w:sz="4" w:space="0"/>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cs="Times New Roman" w:eastAsiaTheme="minorEastAsia"/>
                <w:b/>
                <w:bCs/>
                <w:i w:val="0"/>
                <w:color w:val="0C0C0C"/>
                <w:kern w:val="2"/>
                <w:sz w:val="21"/>
                <w:szCs w:val="21"/>
                <w:highlight w:val="none"/>
                <w:u w:val="none"/>
                <w:lang w:val="en"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 xml:space="preserve">9869.54 </w:t>
            </w:r>
          </w:p>
        </w:tc>
        <w:tc>
          <w:tcPr>
            <w:tcW w:w="1602" w:type="dxa"/>
            <w:tcBorders>
              <w:top w:val="single" w:color="auto" w:sz="4" w:space="0"/>
              <w:left w:val="single" w:color="auto" w:sz="4" w:space="0"/>
              <w:bottom w:val="nil"/>
              <w:right w:val="nil"/>
            </w:tcBorders>
            <w:vAlign w:val="center"/>
          </w:tcPr>
          <w:p>
            <w:pPr>
              <w:keepNext w:val="0"/>
              <w:keepLines w:val="0"/>
              <w:widowControl/>
              <w:suppressLineNumbers w:val="0"/>
              <w:spacing w:line="240" w:lineRule="auto"/>
              <w:ind w:firstLine="0" w:firstLineChars="0"/>
              <w:jc w:val="right"/>
              <w:textAlignment w:val="center"/>
              <w:rPr>
                <w:rFonts w:hint="default" w:ascii="Times New Roman" w:hAnsi="Times New Roman" w:cs="Times New Roman" w:eastAsiaTheme="minorEastAsia"/>
                <w:b/>
                <w:bCs/>
                <w:i w:val="0"/>
                <w:color w:val="0C0C0C"/>
                <w:kern w:val="2"/>
                <w:sz w:val="21"/>
                <w:szCs w:val="21"/>
                <w:highlight w:val="none"/>
                <w:u w:val="none"/>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 xml:space="preserve">17647.87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kern w:val="0"/>
                <w:sz w:val="21"/>
                <w:szCs w:val="21"/>
                <w:highlight w:val="none"/>
                <w:lang w:val="en" w:eastAsia="zh-CN" w:bidi="ar"/>
              </w:rPr>
            </w:pPr>
            <w:r>
              <w:rPr>
                <w:rFonts w:hint="eastAsia" w:ascii="Times New Roman" w:hAnsi="Times New Roman" w:eastAsiaTheme="minorEastAsia" w:cstheme="minorEastAsia"/>
                <w:color w:val="0C0C0C"/>
                <w:kern w:val="0"/>
                <w:sz w:val="21"/>
                <w:szCs w:val="21"/>
                <w:highlight w:val="none"/>
                <w:lang w:val="en-US" w:eastAsia="zh-CN" w:bidi="ar"/>
              </w:rPr>
              <w:t>农、林、牧、渔业</w:t>
            </w:r>
            <w:r>
              <w:rPr>
                <w:rFonts w:hint="eastAsia" w:ascii="Times New Roman" w:hAnsi="Times New Roman" w:eastAsiaTheme="minorEastAsia" w:cstheme="minorEastAsia"/>
                <w:color w:val="0C0C0C"/>
                <w:kern w:val="0"/>
                <w:sz w:val="21"/>
                <w:szCs w:val="21"/>
                <w:highlight w:val="none"/>
                <w:lang w:val="en" w:eastAsia="zh-CN" w:bidi="ar"/>
              </w:rPr>
              <w:t>*</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2.26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1.80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1.41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采矿业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0.13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0.10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0.14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制造业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2460.95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1611.65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2241.63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电力、热力、燃气及水生产和供应业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183.20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136.10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81.47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建筑业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985.03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624.21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530.25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批发和零售业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2390.84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2251.82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13878.48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交通运输、仓储和邮政业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529.66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200.36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88.46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住宿和餐饮业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97.87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95.48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27.30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信息传输、软件和信息技术服务业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44.78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32.58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22.79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金融业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 </w:t>
            </w: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 </w:t>
            </w: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 </w:t>
            </w: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房地产业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5344.94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3936.45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496.42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租赁和商务服务业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1077.05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546.20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154.52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科学研究和技术服务业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611.08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178.59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62.64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水利、环境和公共设施管理业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245.44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17.86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7.73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居民服务、修理和其他服务业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33.03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16.64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17.81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教育</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247.31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122.57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9.32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卫生和社会工作</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111.02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45.34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19.04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nil"/>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文化、体育和娱乐业</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19.67 </w:t>
            </w:r>
          </w:p>
        </w:tc>
        <w:tc>
          <w:tcPr>
            <w:tcW w:w="1599" w:type="dxa"/>
            <w:tcBorders>
              <w:top w:val="nil"/>
              <w:left w:val="single" w:color="auto" w:sz="4" w:space="0"/>
              <w:bottom w:val="nil"/>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14.96 </w:t>
            </w:r>
          </w:p>
        </w:tc>
        <w:tc>
          <w:tcPr>
            <w:tcW w:w="1602" w:type="dxa"/>
            <w:tcBorders>
              <w:top w:val="nil"/>
              <w:left w:val="single" w:color="auto" w:sz="4" w:space="0"/>
              <w:bottom w:val="nil"/>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color w:val="0C0C0C"/>
                <w:kern w:val="2"/>
                <w:sz w:val="21"/>
                <w:szCs w:val="21"/>
                <w:highlight w:val="none"/>
                <w:lang w:val="en" w:eastAsia="zh-CN" w:bidi="ar-SA"/>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8.44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340" w:hRule="exact"/>
          <w:jc w:val="center"/>
        </w:trPr>
        <w:tc>
          <w:tcPr>
            <w:tcW w:w="4034" w:type="dxa"/>
            <w:tcBorders>
              <w:top w:val="nil"/>
              <w:left w:val="nil"/>
              <w:bottom w:val="single" w:color="auto" w:sz="12" w:space="0"/>
              <w:right w:val="single" w:color="auto" w:sz="4" w:space="0"/>
            </w:tcBorders>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Theme="minorEastAsia" w:cstheme="minorEastAsia"/>
                <w:color w:val="0C0C0C"/>
                <w:sz w:val="21"/>
                <w:szCs w:val="21"/>
                <w:highlight w:val="none"/>
              </w:rPr>
            </w:pPr>
            <w:r>
              <w:rPr>
                <w:rFonts w:hint="eastAsia" w:ascii="Times New Roman" w:hAnsi="Times New Roman" w:eastAsiaTheme="minorEastAsia" w:cstheme="minorEastAsia"/>
                <w:color w:val="0C0C0C"/>
                <w:kern w:val="0"/>
                <w:sz w:val="21"/>
                <w:szCs w:val="21"/>
                <w:highlight w:val="none"/>
                <w:lang w:val="en-US" w:eastAsia="zh-CN" w:bidi="ar"/>
              </w:rPr>
              <w:t>公共管理、社会保障和社会组织</w:t>
            </w:r>
          </w:p>
        </w:tc>
        <w:tc>
          <w:tcPr>
            <w:tcW w:w="1599"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i w:val="0"/>
                <w:color w:val="0C0C0C"/>
                <w:kern w:val="0"/>
                <w:sz w:val="21"/>
                <w:szCs w:val="21"/>
                <w:highlight w:val="none"/>
                <w:u w:val="none"/>
                <w:lang w:val="en" w:eastAsia="zh-CN" w:bidi="ar"/>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682.38 </w:t>
            </w:r>
          </w:p>
        </w:tc>
        <w:tc>
          <w:tcPr>
            <w:tcW w:w="1599" w:type="dxa"/>
            <w:tcBorders>
              <w:top w:val="nil"/>
              <w:left w:val="single" w:color="auto" w:sz="4" w:space="0"/>
              <w:bottom w:val="single" w:color="auto" w:sz="12" w:space="0"/>
              <w:right w:val="single" w:color="auto" w:sz="4" w:space="0"/>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i w:val="0"/>
                <w:color w:val="0C0C0C"/>
                <w:kern w:val="0"/>
                <w:sz w:val="21"/>
                <w:szCs w:val="21"/>
                <w:highlight w:val="none"/>
                <w:u w:val="none"/>
                <w:lang w:val="en-US" w:eastAsia="zh-CN" w:bidi="ar"/>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36.82 </w:t>
            </w:r>
          </w:p>
        </w:tc>
        <w:tc>
          <w:tcPr>
            <w:tcW w:w="1602" w:type="dxa"/>
            <w:tcBorders>
              <w:top w:val="nil"/>
              <w:left w:val="single" w:color="auto" w:sz="4" w:space="0"/>
              <w:bottom w:val="single" w:color="auto" w:sz="12" w:space="0"/>
              <w:right w:val="nil"/>
            </w:tcBorders>
            <w:vAlign w:val="center"/>
          </w:tcPr>
          <w:p>
            <w:pPr>
              <w:keepNext w:val="0"/>
              <w:keepLines w:val="0"/>
              <w:widowControl/>
              <w:suppressLineNumbers w:val="0"/>
              <w:spacing w:line="240" w:lineRule="auto"/>
              <w:ind w:left="0" w:right="0" w:firstLine="420" w:firstLineChars="200"/>
              <w:jc w:val="right"/>
              <w:textAlignment w:val="center"/>
              <w:rPr>
                <w:rFonts w:hint="eastAsia" w:ascii="Times New Roman" w:hAnsi="Times New Roman" w:eastAsiaTheme="minorEastAsia" w:cstheme="minorEastAsia"/>
                <w:i w:val="0"/>
                <w:color w:val="0C0C0C"/>
                <w:kern w:val="0"/>
                <w:sz w:val="21"/>
                <w:szCs w:val="21"/>
                <w:highlight w:val="none"/>
                <w:u w:val="none"/>
                <w:lang w:val="en" w:eastAsia="zh-CN" w:bidi="ar"/>
              </w:rPr>
            </w:pPr>
            <w:r>
              <w:rPr>
                <w:rFonts w:hint="eastAsia" w:ascii="Times New Roman" w:hAnsi="Times New Roman" w:eastAsiaTheme="minorEastAsia" w:cstheme="minorEastAsia"/>
                <w:i w:val="0"/>
                <w:iCs w:val="0"/>
                <w:color w:val="000000"/>
                <w:kern w:val="0"/>
                <w:sz w:val="21"/>
                <w:szCs w:val="21"/>
                <w:u w:val="none"/>
                <w:lang w:val="en-US" w:eastAsia="zh-CN" w:bidi="ar"/>
              </w:rPr>
              <w:t xml:space="preserve"> </w:t>
            </w:r>
            <w:r>
              <w:rPr>
                <w:rFonts w:hint="eastAsia" w:ascii="Times New Roman" w:hAnsi="Times New Roman" w:eastAsiaTheme="minorEastAsia" w:cstheme="minorEastAsia"/>
                <w:b w:val="0"/>
                <w:bCs w:val="0"/>
                <w:i w:val="0"/>
                <w:iCs w:val="0"/>
                <w:color w:val="000000"/>
                <w:kern w:val="0"/>
                <w:sz w:val="21"/>
                <w:szCs w:val="21"/>
                <w:u w:val="none"/>
                <w:lang w:val="en-US" w:eastAsia="zh-CN" w:bidi="ar"/>
              </w:rPr>
              <w:t>—</w:t>
            </w:r>
            <w:r>
              <w:rPr>
                <w:rFonts w:hint="eastAsia" w:ascii="Times New Roman" w:hAnsi="Times New Roman" w:eastAsiaTheme="minorEastAsia" w:cstheme="minorEastAsia"/>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cantSplit/>
          <w:trHeight w:val="23" w:hRule="atLeast"/>
          <w:jc w:val="center"/>
        </w:trPr>
        <w:tc>
          <w:tcPr>
            <w:tcW w:w="8834" w:type="dxa"/>
            <w:gridSpan w:val="4"/>
            <w:tcBorders>
              <w:top w:val="single" w:color="auto" w:sz="12" w:space="0"/>
              <w:left w:val="nil"/>
              <w:bottom w:val="nil"/>
              <w:right w:val="nil"/>
            </w:tcBorders>
            <w:vAlign w:val="center"/>
          </w:tcPr>
          <w:p>
            <w:pPr>
              <w:pStyle w:val="2"/>
              <w:keepNext w:val="0"/>
              <w:keepLines w:val="0"/>
              <w:pageBreakBefore w:val="0"/>
              <w:widowControl w:val="0"/>
              <w:kinsoku w:val="0"/>
              <w:wordWrap/>
              <w:overflowPunct/>
              <w:topLinePunct w:val="0"/>
              <w:autoSpaceDE w:val="0"/>
              <w:autoSpaceDN w:val="0"/>
              <w:bidi w:val="0"/>
              <w:adjustRightInd w:val="0"/>
              <w:snapToGrid w:val="0"/>
              <w:spacing w:line="240" w:lineRule="auto"/>
              <w:ind w:left="0" w:leftChars="0" w:right="0" w:rightChars="0" w:firstLine="422" w:firstLineChars="200"/>
              <w:jc w:val="both"/>
              <w:textAlignment w:val="baseline"/>
              <w:outlineLvl w:val="9"/>
              <w:rPr>
                <w:rFonts w:ascii="Times New Roman" w:hAnsi="Times New Roman"/>
                <w:sz w:val="24"/>
                <w:szCs w:val="24"/>
              </w:rPr>
            </w:pPr>
            <w:r>
              <w:rPr>
                <w:rFonts w:hint="eastAsia" w:ascii="楷体" w:hAnsi="楷体" w:eastAsia="楷体" w:cs="楷体"/>
                <w:b/>
                <w:bCs/>
                <w:snapToGrid w:val="0"/>
                <w:color w:val="0C0C0C"/>
                <w:kern w:val="0"/>
                <w:sz w:val="21"/>
                <w:szCs w:val="21"/>
                <w:highlight w:val="none"/>
                <w:lang w:val="en-US" w:eastAsia="zh-CN" w:bidi="ar"/>
              </w:rPr>
              <w:t>注：</w:t>
            </w:r>
            <w:r>
              <w:rPr>
                <w:rFonts w:hint="eastAsia" w:ascii="楷体" w:hAnsi="楷体" w:eastAsia="楷体" w:cs="楷体"/>
                <w:snapToGrid w:val="0"/>
                <w:color w:val="0C0C0C"/>
                <w:kern w:val="0"/>
                <w:sz w:val="21"/>
                <w:szCs w:val="21"/>
                <w:highlight w:val="none"/>
                <w:lang w:val="en-US" w:eastAsia="zh-CN" w:bidi="ar"/>
              </w:rPr>
              <w:t>表中农、林、牧、渔业仅包括从事农、林、牧、渔专业及辅助性活动的单位数据。表中企业法人单位，包括机构类型为企业的法人单位，以及执行企业会计制度的事业法人单位、民办非企业法人单位和基金会，农民专业合作社，农村集体经济组织和除宗教活动场所以外的机构类型为其他组织机构的法人单位。表中房地产业包括房地产开发经营、物业管理、房地产中介服务、房地产租赁经营和其他房地产业。金融业、铁路运输业由部门普查并直报国务院经普办，上级普查机构未反馈分地市的金融业、铁路运输业企业法人经济数据，因此本表不含金融业，交通运输、仓储和邮政业不包含铁路运输业数据。</w:t>
            </w:r>
          </w:p>
        </w:tc>
      </w:tr>
    </w:tbl>
    <w:p>
      <w:pPr>
        <w:pStyle w:val="2"/>
        <w:keepNext w:val="0"/>
        <w:keepLines w:val="0"/>
        <w:pageBreakBefore w:val="0"/>
        <w:kinsoku/>
        <w:wordWrap/>
        <w:overflowPunct/>
        <w:topLinePunct w:val="0"/>
        <w:autoSpaceDE/>
        <w:autoSpaceDN/>
        <w:bidi w:val="0"/>
        <w:adjustRightInd/>
        <w:snapToGrid/>
        <w:spacing w:line="400" w:lineRule="exact"/>
        <w:ind w:left="0" w:leftChars="0" w:firstLine="0" w:firstLineChars="0"/>
        <w:rPr>
          <w:rFonts w:hint="default" w:ascii="Times New Roman" w:hAnsi="Times New Roman" w:eastAsia="仿宋_GB2312" w:cs="Times New Roman"/>
          <w:color w:val="0C0C0C"/>
          <w:sz w:val="36"/>
          <w:szCs w:val="36"/>
          <w:u w:val="none"/>
          <w:lang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jc w:val="both"/>
        <w:textAlignment w:val="auto"/>
        <w:rPr>
          <w:rFonts w:hint="eastAsia" w:ascii="黑体" w:hAnsi="黑体" w:eastAsia="黑体" w:cs="黑体"/>
          <w:b w:val="0"/>
          <w:bCs/>
          <w:color w:val="0C0C0C"/>
          <w:sz w:val="24"/>
          <w:szCs w:val="24"/>
          <w:highlight w:val="none"/>
        </w:rPr>
      </w:pPr>
      <w:r>
        <w:rPr>
          <w:rFonts w:hint="eastAsia" w:ascii="黑体" w:hAnsi="黑体" w:eastAsia="黑体" w:cs="黑体"/>
          <w:b w:val="0"/>
          <w:bCs/>
          <w:i w:val="0"/>
          <w:caps w:val="0"/>
          <w:color w:val="0C0C0C"/>
          <w:spacing w:val="0"/>
          <w:kern w:val="0"/>
          <w:sz w:val="24"/>
          <w:szCs w:val="24"/>
          <w:highlight w:val="none"/>
          <w:lang w:val="en-US" w:eastAsia="zh-CN" w:bidi="ar"/>
        </w:rPr>
        <w:t>注释：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w:t>
      </w:r>
      <w:r>
        <w:rPr>
          <w:rFonts w:hint="default" w:ascii="Times New Roman" w:hAnsi="Times New Roman" w:eastAsia="仿宋_GB2312" w:cs="Times New Roman"/>
          <w:i w:val="0"/>
          <w:caps w:val="0"/>
          <w:color w:val="0C0C0C"/>
          <w:spacing w:val="0"/>
          <w:kern w:val="0"/>
          <w:sz w:val="24"/>
          <w:szCs w:val="24"/>
          <w:highlight w:val="none"/>
          <w:lang w:val="en-US" w:eastAsia="zh-CN" w:bidi="ar"/>
        </w:rPr>
        <w:t>1</w:t>
      </w:r>
      <w:r>
        <w:rPr>
          <w:rFonts w:hint="eastAsia" w:ascii="Times New Roman" w:hAnsi="Times New Roman" w:eastAsia="仿宋_GB2312" w:cs="Times New Roman"/>
          <w:i w:val="0"/>
          <w:caps w:val="0"/>
          <w:color w:val="0C0C0C"/>
          <w:spacing w:val="0"/>
          <w:kern w:val="0"/>
          <w:sz w:val="24"/>
          <w:szCs w:val="24"/>
          <w:highlight w:val="none"/>
          <w:lang w:val="en-US" w:eastAsia="zh-CN" w:bidi="ar"/>
        </w:rPr>
        <w:t>]</w:t>
      </w:r>
      <w:r>
        <w:rPr>
          <w:rFonts w:hint="eastAsia" w:ascii="Times New Roman" w:hAnsi="Times New Roman" w:eastAsia="仿宋_GB2312" w:cs="仿宋_GB2312"/>
          <w:i w:val="0"/>
          <w:caps w:val="0"/>
          <w:color w:val="0C0C0C"/>
          <w:spacing w:val="0"/>
          <w:kern w:val="0"/>
          <w:sz w:val="24"/>
          <w:szCs w:val="24"/>
          <w:highlight w:val="none"/>
          <w:lang w:val="en-US" w:eastAsia="zh-CN" w:bidi="ar"/>
        </w:rPr>
        <w:t>三次产业的划分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仿宋_GB2312"/>
          <w:b/>
          <w:bCs/>
          <w:i w:val="0"/>
          <w:caps w:val="0"/>
          <w:color w:val="0C0C0C"/>
          <w:spacing w:val="0"/>
          <w:kern w:val="0"/>
          <w:sz w:val="24"/>
          <w:szCs w:val="24"/>
          <w:highlight w:val="none"/>
          <w:lang w:val="en-US" w:eastAsia="zh-CN" w:bidi="ar"/>
        </w:rPr>
        <w:t>第一产业</w:t>
      </w:r>
      <w:r>
        <w:rPr>
          <w:rFonts w:hint="eastAsia" w:ascii="Times New Roman" w:hAnsi="Times New Roman" w:eastAsia="仿宋_GB2312" w:cs="仿宋_GB2312"/>
          <w:i w:val="0"/>
          <w:caps w:val="0"/>
          <w:color w:val="0C0C0C"/>
          <w:spacing w:val="0"/>
          <w:kern w:val="0"/>
          <w:sz w:val="24"/>
          <w:szCs w:val="24"/>
          <w:highlight w:val="none"/>
          <w:lang w:val="en-US" w:eastAsia="zh-CN" w:bidi="ar"/>
        </w:rPr>
        <w:t>是指农、林、牧、渔业（不含农、林、牧、渔专业及辅助性活动）；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仿宋_GB2312"/>
          <w:b/>
          <w:bCs/>
          <w:i w:val="0"/>
          <w:caps w:val="0"/>
          <w:color w:val="0C0C0C"/>
          <w:spacing w:val="0"/>
          <w:kern w:val="0"/>
          <w:sz w:val="24"/>
          <w:szCs w:val="24"/>
          <w:highlight w:val="none"/>
          <w:lang w:val="en-US" w:eastAsia="zh-CN" w:bidi="ar"/>
        </w:rPr>
        <w:t>第二产业</w:t>
      </w:r>
      <w:r>
        <w:rPr>
          <w:rFonts w:hint="eastAsia" w:ascii="Times New Roman" w:hAnsi="Times New Roman" w:eastAsia="仿宋_GB2312" w:cs="仿宋_GB2312"/>
          <w:i w:val="0"/>
          <w:caps w:val="0"/>
          <w:color w:val="0C0C0C"/>
          <w:spacing w:val="0"/>
          <w:kern w:val="0"/>
          <w:sz w:val="24"/>
          <w:szCs w:val="24"/>
          <w:highlight w:val="none"/>
          <w:lang w:val="en-US" w:eastAsia="zh-CN" w:bidi="ar"/>
        </w:rPr>
        <w:t>是指采矿业（不含开采专业及辅助性活动），制造业（不含金属制品、机械和设备修理业），电力、热力、燃气及水生产和供应业，建筑业；</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仿宋_GB2312"/>
          <w:b/>
          <w:bCs/>
          <w:i w:val="0"/>
          <w:caps w:val="0"/>
          <w:color w:val="0C0C0C"/>
          <w:spacing w:val="0"/>
          <w:kern w:val="0"/>
          <w:sz w:val="24"/>
          <w:szCs w:val="24"/>
          <w:highlight w:val="none"/>
          <w:lang w:val="en-US" w:eastAsia="zh-CN" w:bidi="ar"/>
        </w:rPr>
        <w:t>第三产业</w:t>
      </w:r>
      <w:r>
        <w:rPr>
          <w:rFonts w:hint="eastAsia" w:ascii="Times New Roman" w:hAnsi="Times New Roman" w:eastAsia="仿宋_GB2312" w:cs="仿宋_GB2312"/>
          <w:i w:val="0"/>
          <w:caps w:val="0"/>
          <w:color w:val="0C0C0C"/>
          <w:spacing w:val="0"/>
          <w:kern w:val="0"/>
          <w:sz w:val="24"/>
          <w:szCs w:val="24"/>
          <w:highlight w:val="none"/>
          <w:lang w:val="en-US" w:eastAsia="zh-CN" w:bidi="ar"/>
        </w:rPr>
        <w:t>即服务业，是指除第一产业、第二产业以外的其他行业，第三产业包括：批发和零售业，交通运输、仓储和邮政业，住宿和餐饮业，信息传输、软件和信息技术服务业，金融业，房地产业，租赁和商务服务业，科学研究和技术服务业，水利、环境和公共设施管理业，居民服务、修理和其他服务业，教育，卫生和社会工作，文化、体育和娱乐业，公共管理、社会保障和社会组织，国际组织，以及农、林、牧、渔业中的农、林、牧、渔专业及辅助性活动，采矿业中的开采专业及辅助性活动，制造业中的金属制品、机械和设备修理业。</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[2]</w:t>
      </w:r>
      <w:r>
        <w:rPr>
          <w:rFonts w:hint="eastAsia" w:ascii="Times New Roman" w:hAnsi="Times New Roman" w:eastAsia="仿宋_GB2312" w:cs="仿宋_GB2312"/>
          <w:i w:val="0"/>
          <w:caps w:val="0"/>
          <w:color w:val="0C0C0C"/>
          <w:spacing w:val="0"/>
          <w:kern w:val="0"/>
          <w:sz w:val="24"/>
          <w:szCs w:val="24"/>
          <w:highlight w:val="none"/>
          <w:lang w:val="en-US" w:eastAsia="zh-CN" w:bidi="ar"/>
        </w:rPr>
        <w:t>单位的划分</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仿宋_GB2312"/>
          <w:i w:val="0"/>
          <w:caps w:val="0"/>
          <w:color w:val="0C0C0C"/>
          <w:spacing w:val="0"/>
          <w:kern w:val="0"/>
          <w:sz w:val="24"/>
          <w:szCs w:val="24"/>
          <w:highlight w:val="none"/>
          <w:lang w:val="en-US" w:eastAsia="zh-CN" w:bidi="ar"/>
        </w:rPr>
        <w:t>法人单位是指有权拥有资产、承担负债，并独立从事社会经济活动（或者与其他单位进行交易）的组织。法人单位应同时具备以下条件：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（1）</w:t>
      </w:r>
      <w:r>
        <w:rPr>
          <w:rFonts w:hint="eastAsia" w:ascii="Times New Roman" w:hAnsi="Times New Roman" w:eastAsia="仿宋_GB2312" w:cs="仿宋_GB2312"/>
          <w:i w:val="0"/>
          <w:caps w:val="0"/>
          <w:color w:val="0C0C0C"/>
          <w:spacing w:val="0"/>
          <w:kern w:val="0"/>
          <w:sz w:val="24"/>
          <w:szCs w:val="24"/>
          <w:highlight w:val="none"/>
          <w:lang w:val="en-US" w:eastAsia="zh-CN" w:bidi="ar"/>
        </w:rPr>
        <w:t>依法成立，有自己的名称、组织机构和场所，能够独立承担负债和其他民事责任；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（2）</w:t>
      </w:r>
      <w:r>
        <w:rPr>
          <w:rFonts w:hint="eastAsia" w:ascii="Times New Roman" w:hAnsi="Times New Roman" w:eastAsia="仿宋_GB2312" w:cs="仿宋_GB2312"/>
          <w:i w:val="0"/>
          <w:caps w:val="0"/>
          <w:color w:val="0C0C0C"/>
          <w:spacing w:val="0"/>
          <w:kern w:val="0"/>
          <w:sz w:val="24"/>
          <w:szCs w:val="24"/>
          <w:highlight w:val="none"/>
          <w:lang w:val="en-US" w:eastAsia="zh-CN" w:bidi="ar"/>
        </w:rPr>
        <w:t>独立拥有和使用（或者授权使用）资产，有权与其他单位签订合同；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（3）</w:t>
      </w:r>
      <w:r>
        <w:rPr>
          <w:rFonts w:hint="eastAsia" w:ascii="Times New Roman" w:hAnsi="Times New Roman" w:eastAsia="仿宋_GB2312" w:cs="仿宋_GB2312"/>
          <w:i w:val="0"/>
          <w:caps w:val="0"/>
          <w:color w:val="0C0C0C"/>
          <w:spacing w:val="0"/>
          <w:kern w:val="0"/>
          <w:sz w:val="24"/>
          <w:szCs w:val="24"/>
          <w:highlight w:val="none"/>
          <w:lang w:val="en-US" w:eastAsia="zh-CN" w:bidi="ar"/>
        </w:rPr>
        <w:t>会计上独立核算，能够编制资产负债表等会计报表。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仿宋_GB2312"/>
          <w:i w:val="0"/>
          <w:caps w:val="0"/>
          <w:color w:val="0C0C0C"/>
          <w:spacing w:val="0"/>
          <w:kern w:val="0"/>
          <w:sz w:val="24"/>
          <w:szCs w:val="24"/>
          <w:highlight w:val="none"/>
          <w:lang w:val="en-US" w:eastAsia="zh-CN" w:bidi="ar"/>
        </w:rPr>
        <w:t>法人单位包括企业法人、事业单位法人、机关法人、社会团体法人、其他法人等。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color w:val="0C0C0C"/>
          <w:sz w:val="24"/>
          <w:szCs w:val="24"/>
          <w:highlight w:val="none"/>
        </w:rPr>
      </w:pPr>
      <w:r>
        <w:rPr>
          <w:rFonts w:hint="eastAsia" w:ascii="Times New Roman" w:hAnsi="Times New Roman" w:eastAsia="仿宋_GB2312" w:cs="仿宋_GB2312"/>
          <w:i w:val="0"/>
          <w:caps w:val="0"/>
          <w:color w:val="0C0C0C"/>
          <w:spacing w:val="0"/>
          <w:kern w:val="0"/>
          <w:sz w:val="24"/>
          <w:szCs w:val="24"/>
          <w:highlight w:val="none"/>
          <w:lang w:val="en-US" w:eastAsia="zh-CN" w:bidi="ar"/>
        </w:rPr>
        <w:t>产业活动单位是指位于一个地点，从事一种或主要从事一种社会经济活动的组织或者组织的一部分。产业活动单位应同时具备以下条件：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（1）</w:t>
      </w:r>
      <w:r>
        <w:rPr>
          <w:rFonts w:hint="eastAsia" w:ascii="Times New Roman" w:hAnsi="Times New Roman" w:eastAsia="仿宋_GB2312" w:cs="仿宋_GB2312"/>
          <w:i w:val="0"/>
          <w:caps w:val="0"/>
          <w:color w:val="0C0C0C"/>
          <w:spacing w:val="0"/>
          <w:kern w:val="0"/>
          <w:sz w:val="24"/>
          <w:szCs w:val="24"/>
          <w:highlight w:val="none"/>
          <w:lang w:val="en-US" w:eastAsia="zh-CN" w:bidi="ar"/>
        </w:rPr>
        <w:t>在一个场所从事一种或者主要从事一种社会经济活动；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（2）</w:t>
      </w:r>
      <w:r>
        <w:rPr>
          <w:rFonts w:hint="eastAsia" w:ascii="Times New Roman" w:hAnsi="Times New Roman" w:eastAsia="仿宋_GB2312" w:cs="仿宋_GB2312"/>
          <w:i w:val="0"/>
          <w:caps w:val="0"/>
          <w:color w:val="0C0C0C"/>
          <w:spacing w:val="0"/>
          <w:kern w:val="0"/>
          <w:sz w:val="24"/>
          <w:szCs w:val="24"/>
          <w:highlight w:val="none"/>
          <w:lang w:val="en-US" w:eastAsia="zh-CN" w:bidi="ar"/>
        </w:rPr>
        <w:t>相对独立地组织生产活动或经营活动；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（3）</w:t>
      </w:r>
      <w:r>
        <w:rPr>
          <w:rFonts w:hint="eastAsia" w:ascii="Times New Roman" w:hAnsi="Times New Roman" w:eastAsia="仿宋_GB2312" w:cs="仿宋_GB2312"/>
          <w:i w:val="0"/>
          <w:caps w:val="0"/>
          <w:color w:val="0C0C0C"/>
          <w:spacing w:val="0"/>
          <w:kern w:val="0"/>
          <w:sz w:val="24"/>
          <w:szCs w:val="24"/>
          <w:highlight w:val="none"/>
          <w:lang w:val="en-US" w:eastAsia="zh-CN" w:bidi="ar"/>
        </w:rPr>
        <w:t>能提供收入或者支出等相关资料。</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[3]</w:t>
      </w:r>
      <w:r>
        <w:rPr>
          <w:rFonts w:hint="eastAsia" w:ascii="Times New Roman" w:hAnsi="Times New Roman" w:eastAsia="仿宋_GB2312" w:cs="仿宋_GB2312"/>
          <w:i w:val="0"/>
          <w:caps w:val="0"/>
          <w:color w:val="0C0C0C"/>
          <w:spacing w:val="0"/>
          <w:kern w:val="0"/>
          <w:sz w:val="24"/>
          <w:szCs w:val="24"/>
          <w:highlight w:val="none"/>
          <w:lang w:val="en-US" w:eastAsia="zh-CN" w:bidi="ar"/>
        </w:rPr>
        <w:t>表中的合计数和部分计算数据因小数取舍而产生的误差，均未作机械调整。为保证数据精确度，个别数据保留2位小数。</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仿宋_GB2312" w:cs="仿宋_GB2312"/>
          <w:i w:val="0"/>
          <w:caps w:val="0"/>
          <w:color w:val="0C0C0C"/>
          <w:spacing w:val="0"/>
          <w:kern w:val="0"/>
          <w:sz w:val="24"/>
          <w:szCs w:val="24"/>
          <w:highlight w:val="none"/>
          <w:lang w:val="en-US" w:eastAsia="zh-CN" w:bidi="ar"/>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w:t>
      </w:r>
      <w:r>
        <w:rPr>
          <w:rFonts w:hint="eastAsia" w:ascii="Times New Roman" w:hAnsi="Times New Roman" w:eastAsia="仿宋_GB2312" w:cs="Times New Roman"/>
          <w:i w:val="0"/>
          <w:caps w:val="0"/>
          <w:color w:val="0C0C0C"/>
          <w:spacing w:val="0"/>
          <w:kern w:val="0"/>
          <w:sz w:val="24"/>
          <w:szCs w:val="24"/>
          <w:highlight w:val="none"/>
          <w:lang w:val="en" w:eastAsia="zh-CN" w:bidi="ar"/>
        </w:rPr>
        <w:t>4</w:t>
      </w:r>
      <w:r>
        <w:rPr>
          <w:rFonts w:hint="eastAsia" w:ascii="Times New Roman" w:hAnsi="Times New Roman" w:eastAsia="仿宋_GB2312" w:cs="Times New Roman"/>
          <w:i w:val="0"/>
          <w:caps w:val="0"/>
          <w:color w:val="0C0C0C"/>
          <w:spacing w:val="0"/>
          <w:kern w:val="0"/>
          <w:sz w:val="24"/>
          <w:szCs w:val="24"/>
          <w:highlight w:val="none"/>
          <w:lang w:val="en-US" w:eastAsia="zh-CN" w:bidi="ar"/>
        </w:rPr>
        <w:t>]</w:t>
      </w:r>
      <w:r>
        <w:rPr>
          <w:rFonts w:hint="eastAsia" w:ascii="Times New Roman" w:hAnsi="Times New Roman" w:eastAsia="仿宋_GB2312" w:cs="仿宋_GB2312"/>
          <w:i w:val="0"/>
          <w:caps w:val="0"/>
          <w:color w:val="0C0C0C"/>
          <w:spacing w:val="0"/>
          <w:kern w:val="0"/>
          <w:sz w:val="24"/>
          <w:szCs w:val="24"/>
          <w:highlight w:val="none"/>
          <w:lang w:val="en-US" w:eastAsia="zh-CN" w:bidi="ar"/>
        </w:rPr>
        <w:t>“…”表示数据不足该表最小单位。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方正仿宋_GBK" w:cs="方正仿宋_GBK"/>
          <w:i w:val="0"/>
          <w:caps w:val="0"/>
          <w:color w:val="0C0C0C"/>
          <w:spacing w:val="0"/>
          <w:kern w:val="0"/>
          <w:sz w:val="28"/>
          <w:szCs w:val="28"/>
          <w:highlight w:val="none"/>
          <w:lang w:val="en-US" w:eastAsia="zh-CN" w:bidi="ar"/>
        </w:rPr>
      </w:pPr>
      <w:r>
        <w:rPr>
          <w:rFonts w:hint="eastAsia" w:ascii="Times New Roman" w:hAnsi="Times New Roman" w:eastAsia="仿宋_GB2312" w:cs="Times New Roman"/>
          <w:i w:val="0"/>
          <w:caps w:val="0"/>
          <w:color w:val="0C0C0C"/>
          <w:spacing w:val="0"/>
          <w:kern w:val="0"/>
          <w:sz w:val="24"/>
          <w:szCs w:val="24"/>
          <w:highlight w:val="none"/>
          <w:lang w:val="en-US" w:eastAsia="zh-CN" w:bidi="ar"/>
        </w:rPr>
        <w:t>[5]</w:t>
      </w:r>
      <w:r>
        <w:rPr>
          <w:rFonts w:hint="eastAsia" w:ascii="Times New Roman" w:hAnsi="Times New Roman" w:eastAsia="仿宋_GB2312" w:cs="仿宋_GB2312"/>
          <w:i w:val="0"/>
          <w:caps w:val="0"/>
          <w:color w:val="0C0C0C"/>
          <w:spacing w:val="0"/>
          <w:kern w:val="0"/>
          <w:sz w:val="24"/>
          <w:szCs w:val="24"/>
          <w:highlight w:val="none"/>
          <w:lang w:val="en-US" w:eastAsia="zh-CN" w:bidi="ar"/>
        </w:rPr>
        <w:t>“—”表示该项统计指标数据不详或无该项数据。</w:t>
      </w:r>
    </w:p>
    <w:p>
      <w:pPr>
        <w:rPr>
          <w:rFonts w:hint="eastAsia"/>
          <w:sz w:val="10"/>
          <w:szCs w:val="10"/>
          <w:lang w:val="en-US" w:eastAsia="zh-CN"/>
        </w:rPr>
      </w:pPr>
    </w:p>
    <w:sectPr>
      <w:headerReference r:id="rId4" w:type="default"/>
      <w:footerReference r:id="rId5" w:type="default"/>
      <w:footnotePr>
        <w:numFmt w:val="decimal"/>
        <w:numRestart w:val="eachPage"/>
      </w:footnotePr>
      <w:pgSz w:w="11900" w:h="16820"/>
      <w:pgMar w:top="2098" w:right="1474" w:bottom="1984" w:left="1587" w:header="0" w:footer="964"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D21CEC5-D12F-4CB0-B114-F48DF3FC643D}"/>
  </w:font>
  <w:font w:name="黑体">
    <w:panose1 w:val="02010609060101010101"/>
    <w:charset w:val="86"/>
    <w:family w:val="auto"/>
    <w:pitch w:val="default"/>
    <w:sig w:usb0="800002BF" w:usb1="38CF7CFA" w:usb2="00000016" w:usb3="00000000" w:csb0="00040001" w:csb1="00000000"/>
    <w:embedRegular r:id="rId2" w:fontKey="{07C239A3-CDC2-45EB-B3A8-5A3A684AAAE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718E8D40-95E1-41B1-835A-B14C6787527E}"/>
  </w:font>
  <w:font w:name="Wingdings 2">
    <w:panose1 w:val="05020102010507070707"/>
    <w:charset w:val="00"/>
    <w:family w:val="auto"/>
    <w:pitch w:val="default"/>
    <w:sig w:usb0="00000000" w:usb1="00000000" w:usb2="00000000" w:usb3="00000000" w:csb0="8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4" w:fontKey="{9DB72BDD-CE87-433B-A9FB-ECD971A27189}"/>
  </w:font>
  <w:font w:name="楷体_GB2312">
    <w:panose1 w:val="02010609030101010101"/>
    <w:charset w:val="86"/>
    <w:family w:val="modern"/>
    <w:pitch w:val="default"/>
    <w:sig w:usb0="00000001" w:usb1="080E0000" w:usb2="00000000" w:usb3="00000000" w:csb0="00040000" w:csb1="00000000"/>
    <w:embedRegular r:id="rId5" w:fontKey="{8D44B52F-D974-400C-B3F8-3C7E12A1BBF2}"/>
  </w:font>
  <w:font w:name="方正仿宋_GBK">
    <w:panose1 w:val="03000509000000000000"/>
    <w:charset w:val="86"/>
    <w:family w:val="auto"/>
    <w:pitch w:val="default"/>
    <w:sig w:usb0="00000000" w:usb1="00000000" w:usb2="00000000" w:usb3="00000000" w:csb0="00000000" w:csb1="00000000"/>
    <w:embedRegular r:id="rId6" w:fontKey="{C7DDF4DF-7AB3-4555-BF46-B84615E67ABE}"/>
  </w:font>
  <w:font w:name="方正小标宋_GBK">
    <w:panose1 w:val="02000000000000000000"/>
    <w:charset w:val="86"/>
    <w:family w:val="auto"/>
    <w:pitch w:val="default"/>
    <w:sig w:usb0="00000000" w:usb1="00000000" w:usb2="00000000" w:usb3="00000000" w:csb0="00000000" w:csb1="00000000"/>
    <w:embedRegular r:id="rId7" w:fontKey="{95C4D8DC-6B8D-4FE2-BB62-7393EDE9B7FF}"/>
  </w:font>
  <w:font w:name="方正楷体_GBK">
    <w:panose1 w:val="03000509000000000000"/>
    <w:charset w:val="86"/>
    <w:family w:val="auto"/>
    <w:pitch w:val="default"/>
    <w:sig w:usb0="00000000" w:usb1="00000000" w:usb2="00000000" w:usb3="00000000" w:csb0="00000000" w:csb1="00000000"/>
    <w:embedRegular r:id="rId8" w:fontKey="{FC94C432-A948-4AF0-B0EF-57A622A49215}"/>
  </w:font>
  <w:font w:name="楷体">
    <w:panose1 w:val="02010609060101010101"/>
    <w:charset w:val="86"/>
    <w:family w:val="auto"/>
    <w:pitch w:val="default"/>
    <w:sig w:usb0="800002BF" w:usb1="38CF7CFA" w:usb2="00000016" w:usb3="00000000" w:csb0="00040001" w:csb1="00000000"/>
    <w:embedRegular r:id="rId9" w:fontKey="{AE7322B9-8E3B-408B-9847-4BAADDCBA9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sz w:val="30"/>
                              <w:szCs w:val="30"/>
                            </w:rPr>
                          </w:pP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fill on="f" focussize="0,0"/>
              <v:stroke on="f" weight="0.5pt"/>
              <v:imagedata o:title=""/>
              <o:lock v:ext="edit" aspectratio="f"/>
              <v:textbox inset="0mm,0mm,0mm,0mm" style="mso-fit-shape-to-text:t;">
                <w:txbxContent>
                  <w:p>
                    <w:pPr>
                      <w:pStyle w:val="6"/>
                      <w:rPr>
                        <w:rFonts w:hint="default" w:ascii="Times New Roman" w:hAnsi="Times New Roman" w:cs="Times New Roman"/>
                        <w:sz w:val="30"/>
                        <w:szCs w:val="30"/>
                      </w:rPr>
                    </w:pP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8"/>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ascii="宋体" w:hAnsi="宋体" w:eastAsia="宋体" w:cs="宋体"/>
          <w:sz w:val="18"/>
          <w:szCs w:val="18"/>
        </w:rPr>
      </w:pPr>
      <w:r>
        <w:rPr>
          <w:rStyle w:val="10"/>
          <w:rFonts w:hint="eastAsia" w:ascii="Calibri" w:hAnsi="Calibri" w:eastAsia="宋体" w:cs="Times New Roman"/>
          <w:sz w:val="20"/>
          <w:szCs w:val="20"/>
          <w:vertAlign w:val="superscript"/>
        </w:rPr>
        <w:footnoteRef/>
      </w:r>
      <w:r>
        <w:rPr>
          <w:rStyle w:val="10"/>
          <w:rFonts w:hint="eastAsia" w:ascii="Calibri" w:hAnsi="Calibri" w:eastAsia="宋体" w:cs="Times New Roman"/>
          <w:sz w:val="20"/>
          <w:szCs w:val="20"/>
          <w:vertAlign w:val="superscript"/>
        </w:rPr>
        <w:t xml:space="preserve"> </w:t>
      </w:r>
      <w:r>
        <w:rPr>
          <w:rFonts w:hint="eastAsia" w:ascii="宋体" w:hAnsi="宋体" w:eastAsia="宋体" w:cs="宋体"/>
          <w:sz w:val="18"/>
          <w:szCs w:val="18"/>
          <w:lang w:eastAsia="zh-CN"/>
        </w:rPr>
        <w:t>产业活动单位是法人单位的组成部分。仅包含一个产业活动单位的法人单位，称为单产业法人单位，该法人单位同时也是一个产业活动单位；由两个及以上产业活动单位组成的法人单位，称为多产业法人单位。本公报中产业活动单位包括单产业法人单位和多产业法人单位下属产业活动单位。</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TrueTypeFonts/>
  <w:saveSubsetFonts/>
  <w:documentProtection w:enforcement="0"/>
  <w:characterSpacingControl w:val="doNotCompress"/>
  <w:footnotePr>
    <w:numRestart w:val="eachPage"/>
  </w:footnotePr>
  <w:compat>
    <w:spaceForUL/>
    <w:ulTrailSpace/>
    <w:useFELayout/>
    <w:compatSetting w:name="compatibilityMode" w:uri="http://schemas.microsoft.com/office/word" w:val="14"/>
  </w:compat>
  <w:rsids>
    <w:rsidRoot w:val="00000000"/>
    <w:rsid w:val="005B093D"/>
    <w:rsid w:val="006100AC"/>
    <w:rsid w:val="00D13BC0"/>
    <w:rsid w:val="00F34618"/>
    <w:rsid w:val="01252CE3"/>
    <w:rsid w:val="012845F2"/>
    <w:rsid w:val="01650D8C"/>
    <w:rsid w:val="019C290D"/>
    <w:rsid w:val="01A916C8"/>
    <w:rsid w:val="01DD669F"/>
    <w:rsid w:val="026337A1"/>
    <w:rsid w:val="02900CBF"/>
    <w:rsid w:val="02A44DE3"/>
    <w:rsid w:val="03094A24"/>
    <w:rsid w:val="03113767"/>
    <w:rsid w:val="03453536"/>
    <w:rsid w:val="03B76C42"/>
    <w:rsid w:val="03FC2E16"/>
    <w:rsid w:val="044E739D"/>
    <w:rsid w:val="047D0E0B"/>
    <w:rsid w:val="048C56F0"/>
    <w:rsid w:val="04B37C8B"/>
    <w:rsid w:val="04C76EB2"/>
    <w:rsid w:val="04E3095E"/>
    <w:rsid w:val="065A35C8"/>
    <w:rsid w:val="070E76A1"/>
    <w:rsid w:val="079A08D3"/>
    <w:rsid w:val="083168C6"/>
    <w:rsid w:val="09020655"/>
    <w:rsid w:val="09104B78"/>
    <w:rsid w:val="09253680"/>
    <w:rsid w:val="09285E9F"/>
    <w:rsid w:val="0A611896"/>
    <w:rsid w:val="0A872B32"/>
    <w:rsid w:val="0B0009AC"/>
    <w:rsid w:val="0BCD084D"/>
    <w:rsid w:val="0BF81FE7"/>
    <w:rsid w:val="0C154949"/>
    <w:rsid w:val="0C1B6007"/>
    <w:rsid w:val="0C2179AB"/>
    <w:rsid w:val="0D45599A"/>
    <w:rsid w:val="0DBA7538"/>
    <w:rsid w:val="0F434917"/>
    <w:rsid w:val="0F876305"/>
    <w:rsid w:val="10572BB3"/>
    <w:rsid w:val="11592A68"/>
    <w:rsid w:val="12173629"/>
    <w:rsid w:val="12A165D1"/>
    <w:rsid w:val="12F25A14"/>
    <w:rsid w:val="131427E4"/>
    <w:rsid w:val="133A279F"/>
    <w:rsid w:val="13AD22D8"/>
    <w:rsid w:val="14B10A5E"/>
    <w:rsid w:val="14B20501"/>
    <w:rsid w:val="14C03BE3"/>
    <w:rsid w:val="153B638D"/>
    <w:rsid w:val="158013F4"/>
    <w:rsid w:val="15BA6B35"/>
    <w:rsid w:val="15E440F6"/>
    <w:rsid w:val="163B0388"/>
    <w:rsid w:val="164E15A7"/>
    <w:rsid w:val="16DD4926"/>
    <w:rsid w:val="17E65529"/>
    <w:rsid w:val="18D53884"/>
    <w:rsid w:val="18E36FE2"/>
    <w:rsid w:val="190C5C28"/>
    <w:rsid w:val="19533D00"/>
    <w:rsid w:val="19FE6234"/>
    <w:rsid w:val="1AAA694D"/>
    <w:rsid w:val="1BAA2974"/>
    <w:rsid w:val="1BF96AEC"/>
    <w:rsid w:val="1C24136B"/>
    <w:rsid w:val="1C654B13"/>
    <w:rsid w:val="1CBC1555"/>
    <w:rsid w:val="1EFA7EE1"/>
    <w:rsid w:val="1FA86D80"/>
    <w:rsid w:val="1FA94802"/>
    <w:rsid w:val="20B65C39"/>
    <w:rsid w:val="20E05A5B"/>
    <w:rsid w:val="214B383A"/>
    <w:rsid w:val="220A11E7"/>
    <w:rsid w:val="22703D10"/>
    <w:rsid w:val="22D75124"/>
    <w:rsid w:val="22DF6543"/>
    <w:rsid w:val="236553F8"/>
    <w:rsid w:val="23A928D9"/>
    <w:rsid w:val="24404E85"/>
    <w:rsid w:val="24A835B0"/>
    <w:rsid w:val="24F301AC"/>
    <w:rsid w:val="265B5E13"/>
    <w:rsid w:val="27DC4D6D"/>
    <w:rsid w:val="29300A52"/>
    <w:rsid w:val="29387FD8"/>
    <w:rsid w:val="295E35EE"/>
    <w:rsid w:val="298869B1"/>
    <w:rsid w:val="298D0E4E"/>
    <w:rsid w:val="299B5324"/>
    <w:rsid w:val="29E069FC"/>
    <w:rsid w:val="29E37561"/>
    <w:rsid w:val="29F16DF3"/>
    <w:rsid w:val="2B866477"/>
    <w:rsid w:val="2CB836F9"/>
    <w:rsid w:val="2D1A097C"/>
    <w:rsid w:val="2D254C1E"/>
    <w:rsid w:val="2D70181A"/>
    <w:rsid w:val="2DB62F5B"/>
    <w:rsid w:val="2DBB6416"/>
    <w:rsid w:val="2EC952CF"/>
    <w:rsid w:val="2F460810"/>
    <w:rsid w:val="300F422D"/>
    <w:rsid w:val="3011436C"/>
    <w:rsid w:val="30196AFA"/>
    <w:rsid w:val="303B192D"/>
    <w:rsid w:val="30B95B83"/>
    <w:rsid w:val="30CA3C5C"/>
    <w:rsid w:val="319D7CBA"/>
    <w:rsid w:val="326C1CFE"/>
    <w:rsid w:val="33B2575C"/>
    <w:rsid w:val="341D4E0B"/>
    <w:rsid w:val="34AA5967"/>
    <w:rsid w:val="363158E8"/>
    <w:rsid w:val="363D41C8"/>
    <w:rsid w:val="37BE7500"/>
    <w:rsid w:val="37FF125D"/>
    <w:rsid w:val="382F433C"/>
    <w:rsid w:val="38792DCD"/>
    <w:rsid w:val="388749CB"/>
    <w:rsid w:val="38F428B2"/>
    <w:rsid w:val="39303776"/>
    <w:rsid w:val="395A0970"/>
    <w:rsid w:val="39A21B08"/>
    <w:rsid w:val="39B16A37"/>
    <w:rsid w:val="3A23030D"/>
    <w:rsid w:val="3AA10350"/>
    <w:rsid w:val="3AC96C9F"/>
    <w:rsid w:val="3B294BC5"/>
    <w:rsid w:val="3BD55437"/>
    <w:rsid w:val="3BD83E3D"/>
    <w:rsid w:val="3C1F45B2"/>
    <w:rsid w:val="3C936E0F"/>
    <w:rsid w:val="3CE70777"/>
    <w:rsid w:val="3D307C72"/>
    <w:rsid w:val="3D881438"/>
    <w:rsid w:val="3E470969"/>
    <w:rsid w:val="3E625A65"/>
    <w:rsid w:val="3E652753"/>
    <w:rsid w:val="3E6A5EFE"/>
    <w:rsid w:val="3ED01CCD"/>
    <w:rsid w:val="3F560A40"/>
    <w:rsid w:val="3F8A0D84"/>
    <w:rsid w:val="415F3F5F"/>
    <w:rsid w:val="416C4764"/>
    <w:rsid w:val="41887424"/>
    <w:rsid w:val="41BE0CEB"/>
    <w:rsid w:val="42613D77"/>
    <w:rsid w:val="428242AC"/>
    <w:rsid w:val="42E5074D"/>
    <w:rsid w:val="42F27732"/>
    <w:rsid w:val="42F9196C"/>
    <w:rsid w:val="42FD5DF4"/>
    <w:rsid w:val="43F81FA0"/>
    <w:rsid w:val="44DC00EB"/>
    <w:rsid w:val="452D6AB1"/>
    <w:rsid w:val="4610621A"/>
    <w:rsid w:val="46E33968"/>
    <w:rsid w:val="470D5494"/>
    <w:rsid w:val="473E4B6F"/>
    <w:rsid w:val="47A5361A"/>
    <w:rsid w:val="47BE3C82"/>
    <w:rsid w:val="47E40B80"/>
    <w:rsid w:val="482C47F7"/>
    <w:rsid w:val="48A94357"/>
    <w:rsid w:val="493801AD"/>
    <w:rsid w:val="493D6085"/>
    <w:rsid w:val="49734B0E"/>
    <w:rsid w:val="498B69E1"/>
    <w:rsid w:val="49CB1105"/>
    <w:rsid w:val="4A8D525B"/>
    <w:rsid w:val="4ABA06E8"/>
    <w:rsid w:val="4AF314C2"/>
    <w:rsid w:val="4B5E33B5"/>
    <w:rsid w:val="4C07034B"/>
    <w:rsid w:val="4C5D31BE"/>
    <w:rsid w:val="4C8816EA"/>
    <w:rsid w:val="4C8A2770"/>
    <w:rsid w:val="4E2F31D3"/>
    <w:rsid w:val="4EF111CB"/>
    <w:rsid w:val="4F0847BA"/>
    <w:rsid w:val="4FDA071E"/>
    <w:rsid w:val="509C604E"/>
    <w:rsid w:val="513C0F03"/>
    <w:rsid w:val="51D75E36"/>
    <w:rsid w:val="5277735B"/>
    <w:rsid w:val="529F4C9C"/>
    <w:rsid w:val="52AF2D38"/>
    <w:rsid w:val="52BB6B4A"/>
    <w:rsid w:val="55BA5237"/>
    <w:rsid w:val="561C29D4"/>
    <w:rsid w:val="56257A60"/>
    <w:rsid w:val="565C123F"/>
    <w:rsid w:val="56904426"/>
    <w:rsid w:val="573945F7"/>
    <w:rsid w:val="57DD5BC6"/>
    <w:rsid w:val="580515D3"/>
    <w:rsid w:val="59C62624"/>
    <w:rsid w:val="5A5D4984"/>
    <w:rsid w:val="5AAA3A4D"/>
    <w:rsid w:val="5ABC71EA"/>
    <w:rsid w:val="5AF869C4"/>
    <w:rsid w:val="5B9B465A"/>
    <w:rsid w:val="5C084598"/>
    <w:rsid w:val="5C435887"/>
    <w:rsid w:val="5C99056A"/>
    <w:rsid w:val="5D3E3D16"/>
    <w:rsid w:val="5D6836A6"/>
    <w:rsid w:val="5D7B386B"/>
    <w:rsid w:val="5DDA4CE2"/>
    <w:rsid w:val="5DEB2C25"/>
    <w:rsid w:val="5E3E6E2C"/>
    <w:rsid w:val="5E3F0130"/>
    <w:rsid w:val="5EFF6305"/>
    <w:rsid w:val="5F31561F"/>
    <w:rsid w:val="5F3B478D"/>
    <w:rsid w:val="5F983091"/>
    <w:rsid w:val="5FAC7E54"/>
    <w:rsid w:val="60043B33"/>
    <w:rsid w:val="600A090D"/>
    <w:rsid w:val="60F609D6"/>
    <w:rsid w:val="61434A36"/>
    <w:rsid w:val="61D378BD"/>
    <w:rsid w:val="62B21879"/>
    <w:rsid w:val="63611042"/>
    <w:rsid w:val="63863D2C"/>
    <w:rsid w:val="64B35355"/>
    <w:rsid w:val="653D7045"/>
    <w:rsid w:val="65441BB2"/>
    <w:rsid w:val="66736A21"/>
    <w:rsid w:val="67445133"/>
    <w:rsid w:val="67BC20AE"/>
    <w:rsid w:val="67F53B1D"/>
    <w:rsid w:val="68506708"/>
    <w:rsid w:val="68BF6A0A"/>
    <w:rsid w:val="6972401A"/>
    <w:rsid w:val="69B745FF"/>
    <w:rsid w:val="6A01571C"/>
    <w:rsid w:val="6A3C1A58"/>
    <w:rsid w:val="6A92793F"/>
    <w:rsid w:val="6B1D10B2"/>
    <w:rsid w:val="6BAE0628"/>
    <w:rsid w:val="6D004977"/>
    <w:rsid w:val="6D8416D6"/>
    <w:rsid w:val="6DBA4E34"/>
    <w:rsid w:val="6E881964"/>
    <w:rsid w:val="6EAD30ED"/>
    <w:rsid w:val="6F666DD4"/>
    <w:rsid w:val="6F997223"/>
    <w:rsid w:val="700F5D9E"/>
    <w:rsid w:val="70442B7D"/>
    <w:rsid w:val="71D13952"/>
    <w:rsid w:val="72752D73"/>
    <w:rsid w:val="72D2758C"/>
    <w:rsid w:val="72EE509C"/>
    <w:rsid w:val="731B38CB"/>
    <w:rsid w:val="73832670"/>
    <w:rsid w:val="74191C03"/>
    <w:rsid w:val="742166FE"/>
    <w:rsid w:val="766905FD"/>
    <w:rsid w:val="76724FD8"/>
    <w:rsid w:val="76E93FA1"/>
    <w:rsid w:val="77430539"/>
    <w:rsid w:val="778857AA"/>
    <w:rsid w:val="797B5BDA"/>
    <w:rsid w:val="7A0E4EF2"/>
    <w:rsid w:val="7A3E7E49"/>
    <w:rsid w:val="7A406348"/>
    <w:rsid w:val="7A5955C8"/>
    <w:rsid w:val="7AB4245F"/>
    <w:rsid w:val="7B242672"/>
    <w:rsid w:val="7CB75974"/>
    <w:rsid w:val="7D6E4856"/>
    <w:rsid w:val="7DE114E3"/>
    <w:rsid w:val="7E021846"/>
    <w:rsid w:val="7E230E82"/>
    <w:rsid w:val="7E5A5758"/>
    <w:rsid w:val="7EEF71C5"/>
    <w:rsid w:val="7F9B4A72"/>
    <w:rsid w:val="7FF04D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ind w:firstLine="420"/>
    </w:pPr>
    <w:rPr>
      <w:rFonts w:eastAsia="宋体" w:cs="黑体"/>
      <w:szCs w:val="24"/>
    </w:rPr>
  </w:style>
  <w:style w:type="paragraph" w:styleId="3">
    <w:name w:val="Body Text Indent"/>
    <w:basedOn w:val="1"/>
    <w:next w:val="1"/>
    <w:qFormat/>
    <w:uiPriority w:val="99"/>
    <w:pPr>
      <w:widowControl w:val="0"/>
      <w:adjustRightInd w:val="0"/>
      <w:spacing w:line="360" w:lineRule="atLeast"/>
      <w:ind w:firstLine="600"/>
      <w:jc w:val="both"/>
      <w:textAlignment w:val="baseline"/>
    </w:pPr>
    <w:rPr>
      <w:rFonts w:ascii="Calibri" w:hAnsi="Calibri" w:eastAsia="宋体" w:cs="Times New Roman"/>
      <w:kern w:val="0"/>
      <w:sz w:val="30"/>
      <w:szCs w:val="20"/>
      <w:lang w:val="en-US" w:eastAsia="zh-CN" w:bidi="ar-SA"/>
    </w:rPr>
  </w:style>
  <w:style w:type="paragraph" w:styleId="4">
    <w:name w:val="Normal Indent"/>
    <w:basedOn w:val="1"/>
    <w:next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Body Text"/>
    <w:basedOn w:val="1"/>
    <w:next w:val="1"/>
    <w:semiHidden/>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unhideWhenUsed/>
    <w:qFormat/>
    <w:uiPriority w:val="99"/>
    <w:pPr>
      <w:snapToGrid w:val="0"/>
      <w:jc w:val="left"/>
    </w:pPr>
    <w:rPr>
      <w:sz w:val="18"/>
    </w:rPr>
  </w:style>
  <w:style w:type="character" w:styleId="10">
    <w:name w:val="footnote reference"/>
    <w:basedOn w:val="9"/>
    <w:unhideWhenUsed/>
    <w:qFormat/>
    <w:uiPriority w:val="99"/>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3">
    <w:name w:val="Table Normal"/>
    <w:unhideWhenUsed/>
    <w:qFormat/>
    <w:uiPriority w:val="0"/>
    <w:tblPr>
      <w:tblLayout w:type="fixed"/>
      <w:tblCellMar>
        <w:top w:w="0" w:type="dxa"/>
        <w:left w:w="0" w:type="dxa"/>
        <w:bottom w:w="0" w:type="dxa"/>
        <w:right w:w="0" w:type="dxa"/>
      </w:tblCellMar>
    </w:tblPr>
  </w:style>
  <w:style w:type="paragraph" w:customStyle="1" w:styleId="14">
    <w:name w:val="Body Text First Indent 2"/>
    <w:basedOn w:val="15"/>
    <w:qFormat/>
    <w:uiPriority w:val="0"/>
    <w:pPr>
      <w:spacing w:line="360" w:lineRule="auto"/>
    </w:pPr>
    <w:rPr>
      <w:rFonts w:eastAsia="宋体"/>
      <w:sz w:val="24"/>
    </w:rPr>
  </w:style>
  <w:style w:type="paragraph" w:customStyle="1" w:styleId="15">
    <w:name w:val="Body Text Indent"/>
    <w:basedOn w:val="1"/>
    <w:qFormat/>
    <w:uiPriority w:val="0"/>
    <w:pPr>
      <w:spacing w:line="150" w:lineRule="atLeast"/>
      <w:ind w:firstLine="420" w:firstLineChars="200"/>
      <w:textAlignment w:val="baseline"/>
    </w:pPr>
    <w:rPr>
      <w:rFonts w:ascii="Times New Roman" w:hAnsi="Times New Roman" w:eastAsia="宋体" w:cs="Times New Roman"/>
      <w:sz w:val="21"/>
      <w:szCs w:val="24"/>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6446</Words>
  <Characters>7812</Characters>
  <TotalTime>0</TotalTime>
  <ScaleCrop>false</ScaleCrop>
  <LinksUpToDate>false</LinksUpToDate>
  <CharactersWithSpaces>8031</CharactersWithSpaces>
  <Application>WPS Office_10.8.0.6206_F1E327BC-269C-435d-A152-05C5408002CA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2025-01-13T09:42:00Z</dcterms:created>
  <dc:creator>Kingsoft-PDF</dc:creator>
  <cp:lastModifiedBy>区统计局</cp:lastModifiedBy>
  <cp:lastPrinted>2025-08-12T03:10:00Z</cp:lastPrinted>
  <dcterms:modified xsi:type="dcterms:W3CDTF">2025-08-15T03:20:59Z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2025-01-13T09:42:29Z</vt:filetime>
  </property>
  <property fmtid="{D5CDD505-2E9C-101B-9397-08002B2CF9AE}" pid="4" name="UsrData">
    <vt:lpwstr>67846f81182be6001f053a9awl</vt:lpwstr>
  </property>
  <property fmtid="{D5CDD505-2E9C-101B-9397-08002B2CF9AE}" pid="5" name="KSOTemplateDocerSaveRecord">
    <vt:lpwstr>eyJoZGlkIjoiZTgzZGMwMzExZjgzNzU4MmEwYWQ5YWFkYWE3ZDI5MmQiLCJ1c2VySWQiOiI0NDMwMzU4MjIifQ==</vt:lpwstr>
  </property>
  <property fmtid="{D5CDD505-2E9C-101B-9397-08002B2CF9AE}" pid="6" name="KSOProductBuildVer">
    <vt:lpwstr>2052-10.8.0.6206</vt:lpwstr>
  </property>
  <property fmtid="{D5CDD505-2E9C-101B-9397-08002B2CF9AE}" pid="7" name="ICV">
    <vt:lpwstr>9AB0E5101892438C966CB9D8C9F73A1D_13</vt:lpwstr>
  </property>
</Properties>
</file>