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N/>
        <w:bidi w:val="0"/>
        <w:spacing w:line="560" w:lineRule="exact"/>
        <w:ind w:left="0" w:leftChars="0" w:right="0" w:rightChars="0" w:firstLine="0" w:firstLineChars="0"/>
        <w:jc w:val="center"/>
        <w:outlineLvl w:val="9"/>
        <w:rPr>
          <w:rFonts w:hint="eastAsia" w:ascii="方正小标宋简体" w:hAnsi="方正小标宋简体" w:eastAsia="方正小标宋简体" w:cs="方正小标宋简体"/>
          <w:bCs/>
          <w:color w:val="0C0C0C"/>
          <w:w w:val="95"/>
          <w:kern w:val="0"/>
          <w:sz w:val="44"/>
          <w:szCs w:val="44"/>
          <w:shd w:val="clear" w:color="auto" w:fill="FFFFFF"/>
          <w:lang w:val="en-US" w:eastAsia="zh-CN" w:bidi="ar"/>
        </w:rPr>
      </w:pPr>
      <w:r>
        <w:rPr>
          <w:rFonts w:hint="eastAsia" w:ascii="方正小标宋简体" w:hAnsi="方正小标宋简体" w:eastAsia="方正小标宋简体" w:cs="方正小标宋简体"/>
          <w:bCs/>
          <w:color w:val="0C0C0C"/>
          <w:w w:val="95"/>
          <w:kern w:val="0"/>
          <w:sz w:val="44"/>
          <w:szCs w:val="44"/>
          <w:shd w:val="clear" w:color="auto" w:fill="FFFFFF"/>
          <w:lang w:val="en-US" w:eastAsia="zh-CN" w:bidi="ar"/>
        </w:rPr>
        <w:t>广州市增城区第五次全国经济普查公报（第四号）</w:t>
      </w:r>
    </w:p>
    <w:p>
      <w:pPr>
        <w:keepNext w:val="0"/>
        <w:keepLines w:val="0"/>
        <w:pageBreakBefore w:val="0"/>
        <w:kinsoku/>
        <w:wordWrap/>
        <w:overflowPunct/>
        <w:topLinePunct w:val="0"/>
        <w:autoSpaceDN/>
        <w:bidi w:val="0"/>
        <w:spacing w:line="560" w:lineRule="exact"/>
        <w:ind w:left="0" w:leftChars="0" w:right="0" w:rightChars="0" w:firstLine="0" w:firstLineChars="0"/>
        <w:jc w:val="center"/>
        <w:outlineLvl w:val="9"/>
        <w:rPr>
          <w:rFonts w:hint="eastAsia" w:ascii="楷体_GB2312" w:hAnsi="楷体_GB2312" w:eastAsia="楷体_GB2312" w:cs="楷体_GB2312"/>
          <w:bCs/>
          <w:color w:val="0C0C0C"/>
          <w:kern w:val="0"/>
          <w:sz w:val="32"/>
          <w:szCs w:val="32"/>
          <w:shd w:val="clear" w:color="auto" w:fill="FFFFFF"/>
          <w:lang w:val="en-US" w:eastAsia="zh-CN" w:bidi="ar"/>
        </w:rPr>
      </w:pPr>
      <w:r>
        <w:rPr>
          <w:rFonts w:hint="eastAsia" w:ascii="楷体_GB2312" w:hAnsi="楷体_GB2312" w:eastAsia="楷体_GB2312" w:cs="楷体_GB2312"/>
          <w:bCs/>
          <w:color w:val="0C0C0C"/>
          <w:kern w:val="0"/>
          <w:sz w:val="32"/>
          <w:szCs w:val="32"/>
          <w:shd w:val="clear" w:color="auto" w:fill="FFFFFF"/>
          <w:lang w:val="en-US" w:eastAsia="zh-CN" w:bidi="ar"/>
        </w:rPr>
        <w:t>——第三产业基本情况之一</w:t>
      </w:r>
    </w:p>
    <w:p>
      <w:pPr>
        <w:keepNext w:val="0"/>
        <w:keepLines w:val="0"/>
        <w:pageBreakBefore w:val="0"/>
        <w:widowControl w:val="0"/>
        <w:kinsoku/>
        <w:wordWrap/>
        <w:overflowPunct/>
        <w:topLinePunct w:val="0"/>
        <w:autoSpaceDE/>
        <w:autoSpaceDN/>
        <w:bidi w:val="0"/>
        <w:adjustRightInd w:val="0"/>
        <w:snapToGrid w:val="0"/>
        <w:spacing w:afterAutospacing="0" w:line="560" w:lineRule="exact"/>
        <w:ind w:left="0" w:leftChars="0" w:right="0" w:rightChars="0" w:firstLine="0" w:firstLineChars="0"/>
        <w:jc w:val="center"/>
        <w:textAlignment w:val="auto"/>
        <w:outlineLvl w:val="9"/>
        <w:rPr>
          <w:rFonts w:hint="eastAsia" w:eastAsia="方正楷体_GBK" w:cs="方正楷体_GBK"/>
          <w:color w:val="0C0C0C"/>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val="0"/>
        <w:snapToGrid w:val="0"/>
        <w:spacing w:afterAutospacing="0" w:line="560" w:lineRule="exact"/>
        <w:ind w:left="0" w:leftChars="0" w:right="0" w:rightChars="0" w:firstLine="0" w:firstLineChars="0"/>
        <w:jc w:val="center"/>
        <w:textAlignment w:val="auto"/>
        <w:outlineLvl w:val="9"/>
        <w:rPr>
          <w:rFonts w:hint="eastAsia" w:ascii="Times New Roman" w:hAnsi="Times New Roman" w:eastAsia="方正楷体_GBK" w:cs="方正楷体_GBK"/>
          <w:color w:val="0C0C0C"/>
          <w:kern w:val="2"/>
          <w:sz w:val="32"/>
          <w:szCs w:val="32"/>
          <w:lang w:val="en-US" w:eastAsia="zh-CN" w:bidi="ar-SA"/>
        </w:rPr>
      </w:pPr>
      <w:r>
        <w:rPr>
          <w:rFonts w:hint="eastAsia" w:ascii="Times New Roman" w:hAnsi="Times New Roman" w:eastAsia="方正楷体_GBK" w:cs="方正楷体_GBK"/>
          <w:color w:val="0C0C0C"/>
          <w:kern w:val="2"/>
          <w:sz w:val="32"/>
          <w:szCs w:val="32"/>
          <w:lang w:val="en-US" w:eastAsia="zh-CN" w:bidi="ar-SA"/>
        </w:rPr>
        <w:t>广州市增城区统计局</w:t>
      </w:r>
    </w:p>
    <w:p>
      <w:pPr>
        <w:keepNext w:val="0"/>
        <w:keepLines w:val="0"/>
        <w:pageBreakBefore w:val="0"/>
        <w:widowControl w:val="0"/>
        <w:kinsoku/>
        <w:wordWrap/>
        <w:overflowPunct/>
        <w:topLinePunct w:val="0"/>
        <w:autoSpaceDE/>
        <w:autoSpaceDN/>
        <w:bidi w:val="0"/>
        <w:adjustRightInd w:val="0"/>
        <w:snapToGrid w:val="0"/>
        <w:spacing w:afterAutospacing="0" w:line="560" w:lineRule="exact"/>
        <w:ind w:left="0" w:leftChars="0" w:right="0" w:rightChars="0" w:firstLine="0" w:firstLineChars="0"/>
        <w:jc w:val="center"/>
        <w:textAlignment w:val="auto"/>
        <w:outlineLvl w:val="9"/>
        <w:rPr>
          <w:rFonts w:hint="eastAsia" w:ascii="Times New Roman" w:hAnsi="Times New Roman" w:eastAsia="方正楷体_GBK" w:cs="方正楷体_GBK"/>
          <w:color w:val="0C0C0C"/>
          <w:kern w:val="2"/>
          <w:sz w:val="32"/>
          <w:szCs w:val="32"/>
          <w:lang w:val="en-US" w:eastAsia="zh-CN" w:bidi="ar-SA"/>
        </w:rPr>
      </w:pPr>
      <w:r>
        <w:rPr>
          <w:rFonts w:hint="eastAsia" w:ascii="Times New Roman" w:hAnsi="Times New Roman" w:eastAsia="方正楷体_GBK" w:cs="方正楷体_GBK"/>
          <w:color w:val="0C0C0C"/>
          <w:kern w:val="2"/>
          <w:sz w:val="32"/>
          <w:szCs w:val="32"/>
          <w:lang w:val="en-US" w:eastAsia="zh-CN" w:bidi="ar-SA"/>
        </w:rPr>
        <w:t>广州市增城区第五次全国经济普查领导小组办公室</w:t>
      </w:r>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baseline"/>
        <w:outlineLvl w:val="9"/>
        <w:rPr>
          <w:rFonts w:hint="default" w:ascii="Times New Roman" w:hAnsi="Times New Roman" w:eastAsia="方正仿宋_GBK" w:cs="Times New Roman"/>
          <w:color w:val="0C0C0C"/>
          <w:sz w:val="32"/>
          <w:szCs w:val="32"/>
          <w:lang w:val="en-US" w:eastAsia="zh-CN"/>
        </w:rPr>
      </w:pPr>
      <w:r>
        <w:rPr>
          <w:rFonts w:hint="eastAsia" w:ascii="Times New Roman" w:hAnsi="Times New Roman" w:eastAsia="方正楷体_GBK" w:cs="Times New Roman"/>
          <w:color w:val="0C0C0C"/>
          <w:kern w:val="2"/>
          <w:sz w:val="32"/>
          <w:szCs w:val="32"/>
          <w:lang w:val="en-US" w:eastAsia="zh-CN" w:bidi="ar-SA"/>
        </w:rPr>
        <w:t>（</w:t>
      </w:r>
      <w:r>
        <w:rPr>
          <w:rFonts w:hint="default" w:ascii="Times New Roman" w:hAnsi="Times New Roman" w:eastAsia="方正楷体_GBK" w:cs="Times New Roman"/>
          <w:color w:val="0C0C0C"/>
          <w:kern w:val="2"/>
          <w:sz w:val="32"/>
          <w:szCs w:val="32"/>
          <w:lang w:val="en-US" w:eastAsia="zh-CN" w:bidi="ar-SA"/>
        </w:rPr>
        <w:t>2025年</w:t>
      </w:r>
      <w:r>
        <w:rPr>
          <w:rFonts w:hint="eastAsia" w:ascii="Times New Roman" w:hAnsi="Times New Roman" w:eastAsia="方正楷体_GBK" w:cs="Times New Roman"/>
          <w:color w:val="0C0C0C"/>
          <w:kern w:val="2"/>
          <w:sz w:val="32"/>
          <w:szCs w:val="32"/>
          <w:lang w:val="en-US" w:eastAsia="zh-CN" w:bidi="ar-SA"/>
        </w:rPr>
        <w:t>8</w:t>
      </w:r>
      <w:r>
        <w:rPr>
          <w:rFonts w:hint="default" w:ascii="Times New Roman" w:hAnsi="Times New Roman" w:eastAsia="方正楷体_GBK" w:cs="Times New Roman"/>
          <w:color w:val="0C0C0C"/>
          <w:kern w:val="2"/>
          <w:sz w:val="32"/>
          <w:szCs w:val="32"/>
          <w:lang w:val="en-US" w:eastAsia="zh-CN" w:bidi="ar-SA"/>
        </w:rPr>
        <w:t>月</w:t>
      </w:r>
      <w:r>
        <w:rPr>
          <w:rFonts w:hint="eastAsia" w:ascii="Times New Roman" w:hAnsi="Times New Roman" w:eastAsia="方正楷体_GBK" w:cs="Times New Roman"/>
          <w:color w:val="0C0C0C"/>
          <w:kern w:val="2"/>
          <w:sz w:val="32"/>
          <w:szCs w:val="32"/>
          <w:lang w:val="en-US" w:eastAsia="zh-CN" w:bidi="ar-SA"/>
        </w:rPr>
        <w:t>12</w:t>
      </w:r>
      <w:r>
        <w:rPr>
          <w:rFonts w:hint="default" w:ascii="Times New Roman" w:hAnsi="Times New Roman" w:eastAsia="方正楷体_GBK" w:cs="Times New Roman"/>
          <w:color w:val="0C0C0C"/>
          <w:kern w:val="2"/>
          <w:sz w:val="32"/>
          <w:szCs w:val="32"/>
          <w:lang w:val="en-US" w:eastAsia="zh-CN" w:bidi="ar-SA"/>
        </w:rPr>
        <w:t>日</w:t>
      </w:r>
      <w:r>
        <w:rPr>
          <w:rFonts w:hint="eastAsia" w:ascii="Times New Roman" w:hAnsi="Times New Roman" w:eastAsia="方正楷体_GBK" w:cs="Times New Roman"/>
          <w:color w:val="0C0C0C"/>
          <w:kern w:val="2"/>
          <w:sz w:val="32"/>
          <w:szCs w:val="32"/>
          <w:lang w:val="en-US" w:eastAsia="zh-CN" w:bidi="ar-SA"/>
        </w:rPr>
        <w:t>）</w:t>
      </w:r>
      <w:bookmarkStart w:id="1" w:name="_GoBack"/>
      <w:bookmarkEnd w:id="1"/>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0C0C0C"/>
          <w:kern w:val="2"/>
          <w:sz w:val="32"/>
          <w:szCs w:val="32"/>
          <w:u w:val="none"/>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0C0C0C"/>
          <w:kern w:val="2"/>
          <w:sz w:val="32"/>
          <w:szCs w:val="32"/>
          <w:u w:val="none"/>
          <w:lang w:val="en-US" w:eastAsia="zh-CN" w:bidi="ar-SA"/>
        </w:rPr>
      </w:pPr>
      <w:r>
        <w:rPr>
          <w:rFonts w:hint="eastAsia" w:ascii="Times New Roman" w:hAnsi="Times New Roman" w:eastAsia="仿宋_GB2312" w:cs="仿宋_GB2312"/>
          <w:color w:val="0C0C0C"/>
          <w:kern w:val="2"/>
          <w:sz w:val="32"/>
          <w:szCs w:val="32"/>
          <w:u w:val="none"/>
          <w:lang w:val="en-US" w:eastAsia="zh-CN" w:bidi="ar-SA"/>
        </w:rPr>
        <w:t>根据第五次全国经济普查结果，现将我区第三产业（不含金融业）中批发和零售业，交通运输、仓储和邮政业，住宿和餐饮业，信息传输、软件和信息技术服务业，房地产业，租赁和商务服务业的主要数据公布如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黑体" w:hAnsi="黑体" w:eastAsia="黑体" w:cs="黑体"/>
          <w:i w:val="0"/>
          <w:caps w:val="0"/>
          <w:color w:val="0C0C0C"/>
          <w:spacing w:val="0"/>
          <w:sz w:val="32"/>
          <w:szCs w:val="32"/>
          <w:highlight w:val="none"/>
        </w:rPr>
      </w:pPr>
      <w:r>
        <w:rPr>
          <w:rFonts w:hint="eastAsia" w:ascii="黑体" w:hAnsi="黑体" w:eastAsia="黑体" w:cs="黑体"/>
          <w:b w:val="0"/>
          <w:bCs/>
          <w:i w:val="0"/>
          <w:caps w:val="0"/>
          <w:color w:val="0C0C0C"/>
          <w:spacing w:val="0"/>
          <w:kern w:val="0"/>
          <w:sz w:val="32"/>
          <w:szCs w:val="32"/>
          <w:highlight w:val="none"/>
          <w:lang w:val="en-US" w:eastAsia="zh-CN" w:bidi="ar"/>
        </w:rPr>
        <w:t>一、批发和零售业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仿宋_GB2312" w:cs="仿宋_GB2312"/>
          <w:i w:val="0"/>
          <w:caps w:val="0"/>
          <w:color w:val="0C0C0C"/>
          <w:spacing w:val="0"/>
          <w:sz w:val="32"/>
          <w:szCs w:val="32"/>
          <w:highlight w:val="none"/>
          <w:lang w:val="en-US"/>
        </w:rPr>
      </w:pPr>
      <w:r>
        <w:rPr>
          <w:rFonts w:hint="eastAsia" w:ascii="楷体_GB2312" w:hAnsi="楷体_GB2312" w:eastAsia="楷体_GB2312" w:cs="楷体_GB2312"/>
          <w:i w:val="0"/>
          <w:caps w:val="0"/>
          <w:color w:val="0C0C0C"/>
          <w:spacing w:val="0"/>
          <w:kern w:val="0"/>
          <w:sz w:val="32"/>
          <w:szCs w:val="32"/>
          <w:highlight w:val="none"/>
          <w:lang w:val="en-US" w:eastAsia="zh-CN" w:bidi="ar"/>
        </w:rPr>
        <w:t>（一）企业法人单位数和从业人员</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center"/>
        <w:outlineLvl w:val="9"/>
        <w:rPr>
          <w:rFonts w:hint="eastAsia" w:ascii="Times New Roman" w:hAnsi="Times New Roman" w:eastAsia="仿宋_GB2312" w:cs="仿宋_GB2312"/>
          <w:color w:val="0C0C0C"/>
          <w:sz w:val="32"/>
          <w:szCs w:val="32"/>
          <w:u w:val="none"/>
          <w:lang w:eastAsia="zh-CN"/>
        </w:rPr>
      </w:pPr>
      <w:r>
        <w:rPr>
          <w:rFonts w:hint="eastAsia" w:ascii="Times New Roman" w:hAnsi="Times New Roman" w:eastAsia="仿宋_GB2312" w:cs="仿宋_GB2312"/>
          <w:color w:val="0C0C0C"/>
          <w:spacing w:val="-6"/>
          <w:sz w:val="32"/>
          <w:szCs w:val="32"/>
          <w:u w:val="none"/>
          <w:lang w:val="en-US" w:eastAsia="zh-CN"/>
        </w:rPr>
        <w:t>2023年末，全区共有批发和零售业企业法人单位</w:t>
      </w:r>
      <w:r>
        <w:rPr>
          <w:rStyle w:val="10"/>
          <w:rFonts w:hint="eastAsia" w:ascii="Times New Roman" w:hAnsi="Times New Roman" w:eastAsia="仿宋_GB2312" w:cs="仿宋_GB2312"/>
          <w:color w:val="0C0C0C"/>
          <w:sz w:val="32"/>
          <w:szCs w:val="32"/>
          <w:u w:val="none"/>
          <w:lang w:val="en-US" w:eastAsia="zh-CN"/>
        </w:rPr>
        <w:footnoteReference w:id="0"/>
      </w:r>
      <w:r>
        <w:rPr>
          <w:rFonts w:hint="eastAsia" w:ascii="Times New Roman" w:hAnsi="Times New Roman" w:eastAsia="仿宋_GB2312" w:cs="仿宋_GB2312"/>
          <w:color w:val="0C0C0C"/>
          <w:sz w:val="32"/>
          <w:szCs w:val="32"/>
          <w:u w:val="none"/>
          <w:lang w:val="en-US" w:eastAsia="zh-CN"/>
        </w:rPr>
        <w:t>21909个，从业人员6.85万人，分别比2018年末增长1.0倍和78.3%。</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center"/>
        <w:outlineLvl w:val="9"/>
        <w:rPr>
          <w:rFonts w:hint="eastAsia" w:ascii="Times New Roman" w:hAnsi="Times New Roman" w:eastAsia="仿宋_GB2312" w:cs="仿宋_GB2312"/>
          <w:color w:val="0C0C0C"/>
          <w:sz w:val="32"/>
          <w:szCs w:val="32"/>
          <w:u w:val="none"/>
          <w:lang w:val="en-US" w:eastAsia="zh-CN"/>
        </w:rPr>
      </w:pPr>
      <w:r>
        <w:rPr>
          <w:rFonts w:hint="eastAsia" w:ascii="Times New Roman" w:hAnsi="Times New Roman" w:eastAsia="仿宋_GB2312" w:cs="仿宋_GB2312"/>
          <w:color w:val="0C0C0C"/>
          <w:sz w:val="32"/>
          <w:szCs w:val="32"/>
          <w:u w:val="none"/>
          <w:lang w:val="en-US" w:eastAsia="zh-CN"/>
        </w:rPr>
        <w:t>在批发和零售业企业法人单位中，批发业占66.4%，零售业占33.6%。在批发和零售业企业法人单位从业人员中，批发业占69.9%，零售业占30.1%（详见表4-1）。</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0" w:right="0" w:firstLine="0" w:firstLineChars="0"/>
        <w:jc w:val="center"/>
        <w:textAlignment w:val="auto"/>
        <w:rPr>
          <w:rFonts w:hint="eastAsia" w:ascii="Times New Roman" w:hAnsi="Times New Roman" w:eastAsia="宋体" w:cs="宋体"/>
          <w:b/>
          <w:i w:val="0"/>
          <w:caps w:val="0"/>
          <w:color w:val="0C0C0C"/>
          <w:spacing w:val="0"/>
          <w:w w:val="90"/>
          <w:kern w:val="0"/>
          <w:sz w:val="30"/>
          <w:szCs w:val="30"/>
          <w:highlight w:val="none"/>
          <w:lang w:val="en-US" w:eastAsia="zh-CN" w:bidi="ar"/>
        </w:rPr>
      </w:pPr>
      <w:r>
        <w:rPr>
          <w:rFonts w:hint="eastAsia" w:ascii="Times New Roman" w:hAnsi="Times New Roman" w:eastAsia="宋体" w:cs="宋体"/>
          <w:b/>
          <w:i w:val="0"/>
          <w:caps w:val="0"/>
          <w:color w:val="0C0C0C"/>
          <w:spacing w:val="0"/>
          <w:w w:val="90"/>
          <w:kern w:val="0"/>
          <w:sz w:val="24"/>
          <w:szCs w:val="24"/>
          <w:highlight w:val="none"/>
          <w:lang w:val="en-US" w:eastAsia="zh-CN" w:bidi="ar"/>
        </w:rPr>
        <w:t>表4-1　按行业中类分组的批发和零售业企业法人单位数和从业人员</w:t>
      </w:r>
    </w:p>
    <w:tbl>
      <w:tblPr>
        <w:tblStyle w:val="11"/>
        <w:tblW w:w="8834"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5480"/>
        <w:gridCol w:w="1677"/>
        <w:gridCol w:w="1677"/>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3" w:hRule="atLeast"/>
          <w:jc w:val="center"/>
        </w:trPr>
        <w:tc>
          <w:tcPr>
            <w:tcW w:w="5480" w:type="dxa"/>
            <w:tcBorders>
              <w:top w:val="single" w:color="auto" w:sz="12" w:space="0"/>
              <w:left w:val="nil"/>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57" w:right="57"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　</w:t>
            </w:r>
          </w:p>
        </w:tc>
        <w:tc>
          <w:tcPr>
            <w:tcW w:w="1677"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企业法人单位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（个）</w:t>
            </w:r>
          </w:p>
        </w:tc>
        <w:tc>
          <w:tcPr>
            <w:tcW w:w="1677" w:type="dxa"/>
            <w:tcBorders>
              <w:top w:val="single" w:color="auto" w:sz="12" w:space="0"/>
              <w:left w:val="single" w:color="auto" w:sz="4" w:space="0"/>
              <w:bottom w:val="single" w:color="auto" w:sz="4"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single" w:color="auto" w:sz="4" w:space="0"/>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1677"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21909</w:t>
            </w:r>
          </w:p>
        </w:tc>
        <w:tc>
          <w:tcPr>
            <w:tcW w:w="1677" w:type="dxa"/>
            <w:tcBorders>
              <w:top w:val="single" w:color="auto" w:sz="4" w:space="0"/>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68498</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批发业</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14543</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47904</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农、林、牧、渔产品批发</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358</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1109</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食品、饮料及烟草制品批发</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1139</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5829</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纺织、服装及家庭用品批发</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4762</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12272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文化、体育用品及器材批发</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511</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1428</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医药及医疗器材批发</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176</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1117</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矿产品、建材及化工产品批发</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3763</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12749</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机械设备、五金产品及电子产品批发</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2601</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9819</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贸易经纪与代理</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100</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233</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其他批发业</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1133</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3348</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零售业</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7366</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20594</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综合零售</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350</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1255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食品、饮料及烟草制品专门零售</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800</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1925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纺织、服装及日用品专门零售</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2248</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3505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文化、体育用品及器材专门零售</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308</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859</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医药及医疗器材专门零售</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603</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1647</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汽车、摩托车、零配件和燃料及其他动力销售</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623</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4507</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家用电器及电子产品专门零售</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550</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1468</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五金、家具及室内装饰材料专门零售</w:t>
            </w:r>
          </w:p>
        </w:tc>
        <w:tc>
          <w:tcPr>
            <w:tcW w:w="167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826</w:t>
            </w:r>
          </w:p>
        </w:tc>
        <w:tc>
          <w:tcPr>
            <w:tcW w:w="167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2284</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5480" w:type="dxa"/>
            <w:tcBorders>
              <w:top w:val="nil"/>
              <w:left w:val="nil"/>
              <w:bottom w:val="single" w:color="auto" w:sz="12"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货摊、无店铺及其他零售业</w:t>
            </w:r>
          </w:p>
        </w:tc>
        <w:tc>
          <w:tcPr>
            <w:tcW w:w="1677"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1058</w:t>
            </w:r>
          </w:p>
        </w:tc>
        <w:tc>
          <w:tcPr>
            <w:tcW w:w="1677" w:type="dxa"/>
            <w:tcBorders>
              <w:top w:val="nil"/>
              <w:left w:val="single" w:color="auto" w:sz="4" w:space="0"/>
              <w:bottom w:val="single" w:color="auto" w:sz="12" w:space="0"/>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3144</w:t>
            </w:r>
          </w:p>
        </w:tc>
      </w:tr>
    </w:tbl>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center"/>
        <w:outlineLvl w:val="9"/>
        <w:rPr>
          <w:rFonts w:hint="eastAsia" w:ascii="Times New Roman" w:hAnsi="Times New Roman" w:eastAsia="仿宋_GB2312" w:cs="仿宋_GB2312"/>
          <w:color w:val="0C0C0C"/>
          <w:spacing w:val="-6"/>
          <w:sz w:val="32"/>
          <w:szCs w:val="32"/>
          <w:u w:val="none"/>
          <w:lang w:val="en-US" w:eastAsia="zh-CN"/>
        </w:rPr>
      </w:pPr>
      <w:r>
        <w:rPr>
          <w:rFonts w:hint="eastAsia" w:ascii="Times New Roman" w:hAnsi="Times New Roman" w:eastAsia="仿宋_GB2312" w:cs="仿宋_GB2312"/>
          <w:color w:val="0C0C0C"/>
          <w:spacing w:val="-6"/>
          <w:sz w:val="32"/>
          <w:szCs w:val="32"/>
          <w:u w:val="none"/>
          <w:lang w:val="en-US" w:eastAsia="zh-CN"/>
        </w:rPr>
        <w:t>在批发和零售业企业法人单位中，内资企业占</w:t>
      </w:r>
      <w:r>
        <w:rPr>
          <w:rFonts w:hint="eastAsia" w:ascii="Times New Roman" w:hAnsi="Times New Roman" w:eastAsia="仿宋_GB2312" w:cs="仿宋_GB2312"/>
          <w:color w:val="0C0C0C"/>
          <w:sz w:val="32"/>
          <w:szCs w:val="32"/>
          <w:u w:val="none"/>
          <w:lang w:val="en-US" w:eastAsia="zh-CN"/>
        </w:rPr>
        <w:t>98.8</w:t>
      </w:r>
      <w:r>
        <w:rPr>
          <w:rFonts w:hint="eastAsia" w:ascii="Times New Roman" w:hAnsi="Times New Roman" w:eastAsia="仿宋_GB2312" w:cs="仿宋_GB2312"/>
          <w:color w:val="0C0C0C"/>
          <w:spacing w:val="-6"/>
          <w:sz w:val="32"/>
          <w:szCs w:val="32"/>
          <w:u w:val="none"/>
          <w:lang w:val="en-US" w:eastAsia="zh-CN"/>
        </w:rPr>
        <w:t>%，港澳台投资企业占</w:t>
      </w:r>
      <w:r>
        <w:rPr>
          <w:rFonts w:hint="eastAsia" w:ascii="Times New Roman" w:hAnsi="Times New Roman" w:eastAsia="仿宋_GB2312" w:cs="仿宋_GB2312"/>
          <w:color w:val="0C0C0C"/>
          <w:sz w:val="32"/>
          <w:szCs w:val="32"/>
          <w:u w:val="none"/>
          <w:lang w:val="en-US" w:eastAsia="zh-CN"/>
        </w:rPr>
        <w:t>0.4</w:t>
      </w:r>
      <w:r>
        <w:rPr>
          <w:rFonts w:hint="eastAsia" w:ascii="Times New Roman" w:hAnsi="Times New Roman" w:eastAsia="仿宋_GB2312" w:cs="仿宋_GB2312"/>
          <w:color w:val="0C0C0C"/>
          <w:spacing w:val="-6"/>
          <w:sz w:val="32"/>
          <w:szCs w:val="32"/>
          <w:u w:val="none"/>
          <w:lang w:val="en-US" w:eastAsia="zh-CN"/>
        </w:rPr>
        <w:t>%，外商投资企业占</w:t>
      </w:r>
      <w:r>
        <w:rPr>
          <w:rFonts w:hint="eastAsia" w:ascii="Times New Roman" w:hAnsi="Times New Roman" w:eastAsia="仿宋_GB2312" w:cs="仿宋_GB2312"/>
          <w:color w:val="0C0C0C"/>
          <w:sz w:val="32"/>
          <w:szCs w:val="32"/>
          <w:u w:val="none"/>
          <w:lang w:val="en-US" w:eastAsia="zh-CN"/>
        </w:rPr>
        <w:t>0.2</w:t>
      </w:r>
      <w:r>
        <w:rPr>
          <w:rFonts w:hint="eastAsia" w:ascii="Times New Roman" w:hAnsi="Times New Roman" w:eastAsia="仿宋_GB2312" w:cs="仿宋_GB2312"/>
          <w:color w:val="0C0C0C"/>
          <w:spacing w:val="-6"/>
          <w:sz w:val="32"/>
          <w:szCs w:val="32"/>
          <w:u w:val="none"/>
          <w:lang w:val="en-US" w:eastAsia="zh-CN"/>
        </w:rPr>
        <w:t>%。</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center"/>
        <w:outlineLvl w:val="9"/>
        <w:rPr>
          <w:rFonts w:hint="eastAsia" w:ascii="Times New Roman" w:hAnsi="Times New Roman" w:eastAsia="仿宋_GB2312" w:cs="仿宋_GB2312"/>
          <w:b/>
          <w:i w:val="0"/>
          <w:caps w:val="0"/>
          <w:color w:val="0C0C0C"/>
          <w:spacing w:val="0"/>
          <w:kern w:val="0"/>
          <w:sz w:val="32"/>
          <w:szCs w:val="32"/>
          <w:highlight w:val="none"/>
          <w:lang w:val="en-US" w:eastAsia="zh-CN" w:bidi="ar"/>
        </w:rPr>
      </w:pPr>
      <w:r>
        <w:rPr>
          <w:rFonts w:hint="eastAsia" w:ascii="Times New Roman" w:hAnsi="Times New Roman" w:eastAsia="仿宋_GB2312" w:cs="仿宋_GB2312"/>
          <w:color w:val="0C0C0C"/>
          <w:spacing w:val="-6"/>
          <w:sz w:val="32"/>
          <w:szCs w:val="32"/>
          <w:u w:val="none"/>
          <w:lang w:val="en-US" w:eastAsia="zh-CN"/>
        </w:rPr>
        <w:t>在批发和零售业企业法人单位从业人员中，内资企业占</w:t>
      </w:r>
      <w:r>
        <w:rPr>
          <w:rFonts w:hint="eastAsia" w:ascii="Times New Roman" w:hAnsi="Times New Roman" w:eastAsia="仿宋_GB2312" w:cs="仿宋_GB2312"/>
          <w:color w:val="0C0C0C"/>
          <w:sz w:val="32"/>
          <w:szCs w:val="32"/>
          <w:u w:val="none"/>
          <w:lang w:val="en-US" w:eastAsia="zh-CN"/>
        </w:rPr>
        <w:t>97.7</w:t>
      </w:r>
      <w:r>
        <w:rPr>
          <w:rFonts w:hint="eastAsia" w:ascii="Times New Roman" w:hAnsi="Times New Roman" w:eastAsia="仿宋_GB2312" w:cs="仿宋_GB2312"/>
          <w:color w:val="0C0C0C"/>
          <w:spacing w:val="-6"/>
          <w:sz w:val="32"/>
          <w:szCs w:val="32"/>
          <w:u w:val="none"/>
          <w:lang w:val="en-US" w:eastAsia="zh-CN"/>
        </w:rPr>
        <w:t>%，港澳台投资企业占</w:t>
      </w:r>
      <w:r>
        <w:rPr>
          <w:rFonts w:hint="eastAsia" w:ascii="Times New Roman" w:hAnsi="Times New Roman" w:eastAsia="仿宋_GB2312" w:cs="仿宋_GB2312"/>
          <w:color w:val="0C0C0C"/>
          <w:sz w:val="32"/>
          <w:szCs w:val="32"/>
          <w:u w:val="none"/>
          <w:lang w:val="en-US" w:eastAsia="zh-CN"/>
        </w:rPr>
        <w:t>1.5</w:t>
      </w:r>
      <w:r>
        <w:rPr>
          <w:rFonts w:hint="eastAsia" w:ascii="Times New Roman" w:hAnsi="Times New Roman" w:eastAsia="仿宋_GB2312" w:cs="仿宋_GB2312"/>
          <w:color w:val="0C0C0C"/>
          <w:spacing w:val="-6"/>
          <w:sz w:val="32"/>
          <w:szCs w:val="32"/>
          <w:u w:val="none"/>
          <w:lang w:val="en-US" w:eastAsia="zh-CN"/>
        </w:rPr>
        <w:t>%，外商投资企业占</w:t>
      </w:r>
      <w:r>
        <w:rPr>
          <w:rFonts w:hint="eastAsia" w:ascii="Times New Roman" w:hAnsi="Times New Roman" w:eastAsia="仿宋_GB2312" w:cs="仿宋_GB2312"/>
          <w:color w:val="0C0C0C"/>
          <w:sz w:val="32"/>
          <w:szCs w:val="32"/>
          <w:u w:val="none"/>
          <w:lang w:val="en-US" w:eastAsia="zh-CN"/>
        </w:rPr>
        <w:t>0.4</w:t>
      </w:r>
      <w:r>
        <w:rPr>
          <w:rFonts w:hint="eastAsia" w:ascii="Times New Roman" w:hAnsi="Times New Roman" w:eastAsia="仿宋_GB2312" w:cs="仿宋_GB2312"/>
          <w:color w:val="0C0C0C"/>
          <w:spacing w:val="-6"/>
          <w:sz w:val="32"/>
          <w:szCs w:val="32"/>
          <w:u w:val="none"/>
          <w:lang w:val="en-US" w:eastAsia="zh-CN"/>
        </w:rPr>
        <w:t>%（详见表4-2）。</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20" w:lineRule="exact"/>
        <w:ind w:left="0" w:leftChars="0" w:right="0" w:firstLine="0" w:firstLineChars="0"/>
        <w:jc w:val="center"/>
        <w:textAlignment w:val="auto"/>
        <w:rPr>
          <w:rFonts w:hint="default" w:ascii="Times New Roman" w:hAnsi="Times New Roman" w:eastAsia="宋体" w:cs="Times New Roman"/>
          <w:b/>
          <w:i w:val="0"/>
          <w:caps w:val="0"/>
          <w:color w:val="0C0C0C"/>
          <w:spacing w:val="0"/>
          <w:kern w:val="0"/>
          <w:sz w:val="24"/>
          <w:szCs w:val="24"/>
          <w:highlight w:val="none"/>
          <w:lang w:val="en-US" w:eastAsia="zh-CN" w:bidi="ar"/>
        </w:rPr>
      </w:pPr>
      <w:r>
        <w:rPr>
          <w:rFonts w:hint="default" w:ascii="Times New Roman" w:hAnsi="Times New Roman" w:eastAsia="宋体" w:cs="Times New Roman"/>
          <w:b/>
          <w:i w:val="0"/>
          <w:caps w:val="0"/>
          <w:color w:val="0C0C0C"/>
          <w:spacing w:val="0"/>
          <w:kern w:val="0"/>
          <w:sz w:val="24"/>
          <w:szCs w:val="24"/>
          <w:highlight w:val="none"/>
          <w:lang w:val="en-US" w:eastAsia="zh-CN" w:bidi="ar"/>
        </w:rPr>
        <w:t>表4-2　按登记注册统计类别分组的批发和零售业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20" w:lineRule="exact"/>
        <w:ind w:left="0" w:leftChars="0" w:right="0" w:firstLine="0" w:firstLineChars="0"/>
        <w:jc w:val="center"/>
        <w:textAlignment w:val="auto"/>
        <w:rPr>
          <w:rFonts w:hint="default" w:ascii="Times New Roman" w:hAnsi="Times New Roman" w:eastAsia="宋体" w:cs="Times New Roman"/>
          <w:b/>
          <w:i w:val="0"/>
          <w:caps w:val="0"/>
          <w:color w:val="0C0C0C"/>
          <w:spacing w:val="0"/>
          <w:kern w:val="0"/>
          <w:sz w:val="24"/>
          <w:szCs w:val="24"/>
          <w:highlight w:val="none"/>
          <w:lang w:val="en-US" w:eastAsia="zh-CN" w:bidi="ar"/>
        </w:rPr>
      </w:pPr>
      <w:r>
        <w:rPr>
          <w:rFonts w:hint="default" w:ascii="Times New Roman" w:hAnsi="Times New Roman" w:eastAsia="宋体" w:cs="Times New Roman"/>
          <w:b/>
          <w:i w:val="0"/>
          <w:caps w:val="0"/>
          <w:color w:val="0C0C0C"/>
          <w:spacing w:val="0"/>
          <w:kern w:val="0"/>
          <w:sz w:val="24"/>
          <w:szCs w:val="24"/>
          <w:highlight w:val="none"/>
          <w:lang w:val="en-US" w:eastAsia="zh-CN" w:bidi="ar"/>
        </w:rPr>
        <w:t>企业法人单位数和从业人员</w:t>
      </w:r>
    </w:p>
    <w:tbl>
      <w:tblPr>
        <w:tblStyle w:val="11"/>
        <w:tblW w:w="8834"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4220"/>
        <w:gridCol w:w="2307"/>
        <w:gridCol w:w="2307"/>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3" w:hRule="atLeast"/>
          <w:jc w:val="center"/>
        </w:trPr>
        <w:tc>
          <w:tcPr>
            <w:tcW w:w="4220" w:type="dxa"/>
            <w:tcBorders>
              <w:top w:val="single" w:color="auto" w:sz="12" w:space="0"/>
              <w:left w:val="nil"/>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20" w:lineRule="exact"/>
              <w:ind w:left="0" w:leftChars="0" w:right="0" w:firstLine="500" w:firstLineChars="0"/>
              <w:jc w:val="center"/>
              <w:textAlignment w:val="auto"/>
              <w:rPr>
                <w:rFonts w:hint="default" w:ascii="Times New Roman" w:hAnsi="Times New Roman" w:eastAsia="宋体" w:cs="Times New Roman"/>
                <w:color w:val="0C0C0C"/>
                <w:sz w:val="21"/>
                <w:szCs w:val="21"/>
                <w:highlight w:val="none"/>
              </w:rPr>
            </w:pPr>
            <w:r>
              <w:rPr>
                <w:rFonts w:hint="default" w:ascii="Times New Roman" w:hAnsi="Times New Roman" w:eastAsia="宋体" w:cs="Times New Roman"/>
                <w:color w:val="0C0C0C"/>
                <w:kern w:val="0"/>
                <w:sz w:val="21"/>
                <w:szCs w:val="21"/>
                <w:highlight w:val="none"/>
                <w:lang w:val="en-US" w:eastAsia="zh-CN" w:bidi="ar"/>
              </w:rPr>
              <w:t>　</w:t>
            </w:r>
          </w:p>
        </w:tc>
        <w:tc>
          <w:tcPr>
            <w:tcW w:w="2307"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20" w:lineRule="exact"/>
              <w:ind w:left="0" w:leftChars="0" w:right="0" w:firstLine="0" w:firstLineChars="0"/>
              <w:jc w:val="center"/>
              <w:textAlignment w:val="auto"/>
              <w:rPr>
                <w:rFonts w:hint="default" w:ascii="Times New Roman" w:hAnsi="Times New Roman" w:eastAsia="宋体" w:cs="Times New Roman"/>
                <w:b/>
                <w:bCs/>
                <w:color w:val="0C0C0C"/>
                <w:sz w:val="21"/>
                <w:szCs w:val="21"/>
                <w:highlight w:val="none"/>
              </w:rPr>
            </w:pPr>
            <w:r>
              <w:rPr>
                <w:rFonts w:hint="default" w:ascii="Times New Roman" w:hAnsi="Times New Roman" w:eastAsia="宋体" w:cs="Times New Roman"/>
                <w:b/>
                <w:bCs/>
                <w:color w:val="0C0C0C"/>
                <w:kern w:val="0"/>
                <w:sz w:val="21"/>
                <w:szCs w:val="21"/>
                <w:highlight w:val="none"/>
                <w:lang w:val="en-US" w:eastAsia="zh-CN" w:bidi="ar"/>
              </w:rPr>
              <w:t>企业法人单位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20" w:lineRule="exact"/>
              <w:ind w:left="0" w:leftChars="0" w:right="0" w:firstLine="0" w:firstLineChars="0"/>
              <w:jc w:val="center"/>
              <w:textAlignment w:val="auto"/>
              <w:rPr>
                <w:rFonts w:hint="default" w:ascii="Times New Roman" w:hAnsi="Times New Roman" w:eastAsia="宋体" w:cs="Times New Roman"/>
                <w:b/>
                <w:bCs/>
                <w:color w:val="0C0C0C"/>
                <w:sz w:val="21"/>
                <w:szCs w:val="21"/>
                <w:highlight w:val="none"/>
              </w:rPr>
            </w:pPr>
            <w:r>
              <w:rPr>
                <w:rFonts w:hint="default" w:ascii="Times New Roman" w:hAnsi="Times New Roman" w:eastAsia="宋体" w:cs="Times New Roman"/>
                <w:b/>
                <w:bCs/>
                <w:color w:val="0C0C0C"/>
                <w:kern w:val="0"/>
                <w:sz w:val="21"/>
                <w:szCs w:val="21"/>
                <w:highlight w:val="none"/>
                <w:lang w:val="en-US" w:eastAsia="zh-CN" w:bidi="ar"/>
              </w:rPr>
              <w:t>（个）</w:t>
            </w:r>
          </w:p>
        </w:tc>
        <w:tc>
          <w:tcPr>
            <w:tcW w:w="2307" w:type="dxa"/>
            <w:tcBorders>
              <w:top w:val="single" w:color="auto" w:sz="12" w:space="0"/>
              <w:left w:val="single" w:color="auto" w:sz="4" w:space="0"/>
              <w:bottom w:val="single" w:color="auto" w:sz="4"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20" w:lineRule="exact"/>
              <w:ind w:left="0" w:leftChars="0" w:right="0" w:firstLine="0" w:firstLineChars="0"/>
              <w:jc w:val="center"/>
              <w:textAlignment w:val="auto"/>
              <w:rPr>
                <w:rFonts w:hint="default" w:ascii="Times New Roman" w:hAnsi="Times New Roman" w:eastAsia="宋体" w:cs="Times New Roman"/>
                <w:b/>
                <w:bCs/>
                <w:color w:val="0C0C0C"/>
                <w:sz w:val="21"/>
                <w:szCs w:val="21"/>
                <w:highlight w:val="none"/>
              </w:rPr>
            </w:pPr>
            <w:r>
              <w:rPr>
                <w:rFonts w:hint="default" w:ascii="Times New Roman" w:hAnsi="Times New Roman" w:eastAsia="宋体" w:cs="Times New Roman"/>
                <w:b/>
                <w:bCs/>
                <w:color w:val="0C0C0C"/>
                <w:kern w:val="0"/>
                <w:sz w:val="21"/>
                <w:szCs w:val="21"/>
                <w:highlight w:val="none"/>
                <w:lang w:val="en-US" w:eastAsia="zh-CN" w:bidi="ar"/>
              </w:rPr>
              <w:t>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20" w:lineRule="exact"/>
              <w:ind w:left="0" w:leftChars="0" w:right="0" w:firstLine="0" w:firstLineChars="0"/>
              <w:jc w:val="center"/>
              <w:textAlignment w:val="auto"/>
              <w:rPr>
                <w:rFonts w:hint="default" w:ascii="Times New Roman" w:hAnsi="Times New Roman" w:eastAsia="宋体" w:cs="Times New Roman"/>
                <w:b/>
                <w:bCs/>
                <w:color w:val="0C0C0C"/>
                <w:sz w:val="21"/>
                <w:szCs w:val="21"/>
                <w:highlight w:val="none"/>
              </w:rPr>
            </w:pPr>
            <w:r>
              <w:rPr>
                <w:rFonts w:hint="default" w:ascii="Times New Roman" w:hAnsi="Times New Roman" w:eastAsia="宋体" w:cs="Times New Roman"/>
                <w:b/>
                <w:bCs/>
                <w:color w:val="0C0C0C"/>
                <w:kern w:val="0"/>
                <w:sz w:val="21"/>
                <w:szCs w:val="21"/>
                <w:highlight w:val="none"/>
                <w:lang w:val="en-US" w:eastAsia="zh-CN" w:bidi="ar"/>
              </w:rPr>
              <w:t>（人）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220" w:type="dxa"/>
            <w:tcBorders>
              <w:top w:val="single" w:color="auto" w:sz="4" w:space="0"/>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240" w:lineRule="auto"/>
              <w:ind w:left="0" w:leftChars="0" w:right="0" w:firstLine="0" w:firstLineChars="0"/>
              <w:jc w:val="center"/>
              <w:textAlignment w:val="auto"/>
              <w:rPr>
                <w:rFonts w:hint="default" w:ascii="Times New Roman" w:hAnsi="Times New Roman" w:eastAsia="宋体" w:cs="Times New Roman"/>
                <w:color w:val="0C0C0C"/>
                <w:sz w:val="21"/>
                <w:szCs w:val="21"/>
                <w:highlight w:val="none"/>
              </w:rPr>
            </w:pPr>
            <w:r>
              <w:rPr>
                <w:rFonts w:hint="default" w:ascii="Times New Roman" w:hAnsi="Times New Roman" w:eastAsia="宋体" w:cs="Times New Roman"/>
                <w:b/>
                <w:color w:val="0C0C0C"/>
                <w:kern w:val="0"/>
                <w:sz w:val="21"/>
                <w:szCs w:val="21"/>
                <w:highlight w:val="none"/>
                <w:lang w:val="en-US" w:eastAsia="zh-CN" w:bidi="ar"/>
              </w:rPr>
              <w:t>合　计</w:t>
            </w:r>
          </w:p>
        </w:tc>
        <w:tc>
          <w:tcPr>
            <w:tcW w:w="2307"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b/>
                <w:bCs/>
                <w:i w:val="0"/>
                <w:color w:val="0C0C0C"/>
                <w:kern w:val="0"/>
                <w:sz w:val="21"/>
                <w:szCs w:val="21"/>
                <w:u w:val="none"/>
                <w:lang w:val="en" w:eastAsia="zh-CN" w:bidi="ar"/>
              </w:rPr>
            </w:pPr>
            <w:r>
              <w:rPr>
                <w:rFonts w:hint="default" w:ascii="Times New Roman" w:hAnsi="Times New Roman" w:eastAsia="宋体" w:cs="Times New Roman"/>
                <w:b/>
                <w:bCs/>
                <w:i w:val="0"/>
                <w:iCs w:val="0"/>
                <w:color w:val="000000"/>
                <w:kern w:val="0"/>
                <w:sz w:val="21"/>
                <w:szCs w:val="21"/>
                <w:u w:val="none"/>
                <w:lang w:val="en-US" w:eastAsia="zh-CN" w:bidi="ar"/>
              </w:rPr>
              <w:t>21909</w:t>
            </w:r>
          </w:p>
        </w:tc>
        <w:tc>
          <w:tcPr>
            <w:tcW w:w="2307" w:type="dxa"/>
            <w:tcBorders>
              <w:top w:val="single" w:color="auto" w:sz="4" w:space="0"/>
              <w:left w:val="single" w:color="auto" w:sz="4" w:space="0"/>
              <w:bottom w:val="nil"/>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b/>
                <w:bCs/>
                <w:i w:val="0"/>
                <w:color w:val="0C0C0C"/>
                <w:kern w:val="0"/>
                <w:sz w:val="21"/>
                <w:szCs w:val="21"/>
                <w:u w:val="none"/>
                <w:lang w:val="en" w:eastAsia="zh-CN" w:bidi="ar"/>
              </w:rPr>
            </w:pPr>
            <w:r>
              <w:rPr>
                <w:rFonts w:hint="default" w:ascii="Times New Roman" w:hAnsi="Times New Roman" w:eastAsia="宋体" w:cs="Times New Roman"/>
                <w:b/>
                <w:bCs/>
                <w:i w:val="0"/>
                <w:iCs w:val="0"/>
                <w:color w:val="000000"/>
                <w:kern w:val="0"/>
                <w:sz w:val="21"/>
                <w:szCs w:val="21"/>
                <w:u w:val="none"/>
                <w:lang w:val="en-US" w:eastAsia="zh-CN" w:bidi="ar"/>
              </w:rPr>
              <w:t>68498</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22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240" w:lineRule="auto"/>
              <w:ind w:left="0" w:leftChars="0" w:right="0" w:firstLine="0" w:firstLineChars="0"/>
              <w:jc w:val="left"/>
              <w:textAlignment w:val="auto"/>
              <w:rPr>
                <w:rFonts w:hint="default" w:ascii="Times New Roman" w:hAnsi="Times New Roman" w:eastAsia="宋体" w:cs="Times New Roman"/>
                <w:b w:val="0"/>
                <w:bCs/>
                <w:color w:val="0C0C0C"/>
                <w:sz w:val="21"/>
                <w:szCs w:val="21"/>
                <w:highlight w:val="none"/>
              </w:rPr>
            </w:pPr>
            <w:r>
              <w:rPr>
                <w:rFonts w:hint="default" w:ascii="Times New Roman" w:hAnsi="Times New Roman" w:eastAsia="宋体" w:cs="Times New Roman"/>
                <w:b w:val="0"/>
                <w:bCs/>
                <w:color w:val="0C0C0C"/>
                <w:kern w:val="0"/>
                <w:sz w:val="21"/>
                <w:szCs w:val="21"/>
                <w:highlight w:val="none"/>
                <w:lang w:val="en-US" w:eastAsia="zh-CN" w:bidi="ar"/>
              </w:rPr>
              <w:t>内资企业</w:t>
            </w:r>
          </w:p>
        </w:tc>
        <w:tc>
          <w:tcPr>
            <w:tcW w:w="230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color w:val="0C0C0C"/>
                <w:kern w:val="0"/>
                <w:sz w:val="21"/>
                <w:szCs w:val="21"/>
                <w:u w:val="none"/>
                <w:lang w:val="en" w:eastAsia="zh-CN" w:bidi="ar"/>
              </w:rPr>
            </w:pPr>
            <w:r>
              <w:rPr>
                <w:rFonts w:hint="default" w:ascii="Times New Roman" w:hAnsi="Times New Roman" w:eastAsia="宋体" w:cs="Times New Roman"/>
                <w:i w:val="0"/>
                <w:iCs w:val="0"/>
                <w:color w:val="000000"/>
                <w:kern w:val="0"/>
                <w:sz w:val="21"/>
                <w:szCs w:val="21"/>
                <w:u w:val="none"/>
                <w:lang w:val="en-US" w:eastAsia="zh-CN" w:bidi="ar"/>
              </w:rPr>
              <w:t>21642</w:t>
            </w:r>
          </w:p>
        </w:tc>
        <w:tc>
          <w:tcPr>
            <w:tcW w:w="2307" w:type="dxa"/>
            <w:tcBorders>
              <w:top w:val="nil"/>
              <w:left w:val="single" w:color="auto" w:sz="4" w:space="0"/>
              <w:bottom w:val="nil"/>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color w:val="0C0C0C"/>
                <w:kern w:val="0"/>
                <w:sz w:val="21"/>
                <w:szCs w:val="21"/>
                <w:u w:val="none"/>
                <w:lang w:val="en" w:eastAsia="zh-CN" w:bidi="ar"/>
              </w:rPr>
            </w:pPr>
            <w:r>
              <w:rPr>
                <w:rFonts w:hint="default" w:ascii="Times New Roman" w:hAnsi="Times New Roman" w:eastAsia="宋体" w:cs="Times New Roman"/>
                <w:i w:val="0"/>
                <w:iCs w:val="0"/>
                <w:color w:val="000000"/>
                <w:kern w:val="0"/>
                <w:sz w:val="21"/>
                <w:szCs w:val="21"/>
                <w:u w:val="none"/>
                <w:lang w:val="en-US" w:eastAsia="zh-CN" w:bidi="ar"/>
              </w:rPr>
              <w:t>66930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22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240" w:lineRule="auto"/>
              <w:ind w:left="0" w:leftChars="0" w:right="0" w:firstLine="0" w:firstLineChars="0"/>
              <w:jc w:val="left"/>
              <w:textAlignment w:val="auto"/>
              <w:rPr>
                <w:rFonts w:hint="default" w:ascii="Times New Roman" w:hAnsi="Times New Roman" w:eastAsia="宋体" w:cs="Times New Roman"/>
                <w:b w:val="0"/>
                <w:bCs/>
                <w:color w:val="0C0C0C"/>
                <w:sz w:val="21"/>
                <w:szCs w:val="21"/>
                <w:highlight w:val="none"/>
              </w:rPr>
            </w:pPr>
            <w:r>
              <w:rPr>
                <w:rFonts w:hint="default" w:ascii="Times New Roman" w:hAnsi="Times New Roman" w:eastAsia="宋体" w:cs="Times New Roman"/>
                <w:b w:val="0"/>
                <w:bCs/>
                <w:color w:val="0C0C0C"/>
                <w:kern w:val="0"/>
                <w:sz w:val="21"/>
                <w:szCs w:val="21"/>
                <w:highlight w:val="none"/>
                <w:lang w:val="en-US" w:eastAsia="zh-CN" w:bidi="ar"/>
              </w:rPr>
              <w:t>港澳台投资企业</w:t>
            </w:r>
          </w:p>
        </w:tc>
        <w:tc>
          <w:tcPr>
            <w:tcW w:w="230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color w:val="0C0C0C"/>
                <w:kern w:val="0"/>
                <w:sz w:val="21"/>
                <w:szCs w:val="21"/>
                <w:u w:val="none"/>
                <w:lang w:val="en" w:eastAsia="zh-CN" w:bidi="ar"/>
              </w:rPr>
            </w:pPr>
            <w:r>
              <w:rPr>
                <w:rFonts w:hint="default" w:ascii="Times New Roman" w:hAnsi="Times New Roman" w:eastAsia="宋体" w:cs="Times New Roman"/>
                <w:i w:val="0"/>
                <w:iCs w:val="0"/>
                <w:color w:val="000000"/>
                <w:kern w:val="0"/>
                <w:sz w:val="21"/>
                <w:szCs w:val="21"/>
                <w:u w:val="none"/>
                <w:lang w:val="en-US" w:eastAsia="zh-CN" w:bidi="ar"/>
              </w:rPr>
              <w:t>87</w:t>
            </w:r>
          </w:p>
        </w:tc>
        <w:tc>
          <w:tcPr>
            <w:tcW w:w="2307" w:type="dxa"/>
            <w:tcBorders>
              <w:top w:val="nil"/>
              <w:left w:val="single" w:color="auto" w:sz="4" w:space="0"/>
              <w:bottom w:val="nil"/>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color w:val="0C0C0C"/>
                <w:kern w:val="0"/>
                <w:sz w:val="21"/>
                <w:szCs w:val="21"/>
                <w:u w:val="none"/>
                <w:lang w:val="en" w:eastAsia="zh-CN" w:bidi="ar"/>
              </w:rPr>
            </w:pPr>
            <w:r>
              <w:rPr>
                <w:rFonts w:hint="default" w:ascii="Times New Roman" w:hAnsi="Times New Roman" w:eastAsia="宋体" w:cs="Times New Roman"/>
                <w:i w:val="0"/>
                <w:iCs w:val="0"/>
                <w:color w:val="000000"/>
                <w:kern w:val="0"/>
                <w:sz w:val="21"/>
                <w:szCs w:val="21"/>
                <w:u w:val="none"/>
                <w:lang w:val="en-US" w:eastAsia="zh-CN" w:bidi="ar"/>
              </w:rPr>
              <w:t>1028</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22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240" w:lineRule="auto"/>
              <w:ind w:left="0" w:leftChars="0" w:right="0" w:firstLine="0" w:firstLineChars="0"/>
              <w:jc w:val="left"/>
              <w:textAlignment w:val="auto"/>
              <w:rPr>
                <w:rFonts w:hint="default" w:ascii="Times New Roman" w:hAnsi="Times New Roman" w:eastAsia="宋体" w:cs="Times New Roman"/>
                <w:b w:val="0"/>
                <w:bCs/>
                <w:color w:val="0C0C0C"/>
                <w:sz w:val="21"/>
                <w:szCs w:val="21"/>
                <w:highlight w:val="none"/>
              </w:rPr>
            </w:pPr>
            <w:r>
              <w:rPr>
                <w:rFonts w:hint="default" w:ascii="Times New Roman" w:hAnsi="Times New Roman" w:eastAsia="宋体" w:cs="Times New Roman"/>
                <w:b w:val="0"/>
                <w:bCs/>
                <w:color w:val="0C0C0C"/>
                <w:kern w:val="0"/>
                <w:sz w:val="21"/>
                <w:szCs w:val="21"/>
                <w:highlight w:val="none"/>
                <w:lang w:val="en-US" w:eastAsia="zh-CN" w:bidi="ar"/>
              </w:rPr>
              <w:t>外商投资企业</w:t>
            </w:r>
          </w:p>
        </w:tc>
        <w:tc>
          <w:tcPr>
            <w:tcW w:w="230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color w:val="0C0C0C"/>
                <w:kern w:val="0"/>
                <w:sz w:val="21"/>
                <w:szCs w:val="21"/>
                <w:u w:val="none"/>
                <w:lang w:val="en" w:eastAsia="zh-CN" w:bidi="ar"/>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2307" w:type="dxa"/>
            <w:tcBorders>
              <w:top w:val="nil"/>
              <w:left w:val="single" w:color="auto" w:sz="4" w:space="0"/>
              <w:bottom w:val="nil"/>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color w:val="0C0C0C"/>
                <w:kern w:val="0"/>
                <w:sz w:val="21"/>
                <w:szCs w:val="21"/>
                <w:u w:val="none"/>
                <w:lang w:val="en" w:eastAsia="zh-CN" w:bidi="ar"/>
              </w:rPr>
            </w:pPr>
            <w:r>
              <w:rPr>
                <w:rFonts w:hint="default" w:ascii="Times New Roman" w:hAnsi="Times New Roman" w:eastAsia="宋体" w:cs="Times New Roman"/>
                <w:i w:val="0"/>
                <w:iCs w:val="0"/>
                <w:color w:val="000000"/>
                <w:kern w:val="0"/>
                <w:sz w:val="21"/>
                <w:szCs w:val="21"/>
                <w:u w:val="none"/>
                <w:lang w:val="en-US" w:eastAsia="zh-CN" w:bidi="ar"/>
              </w:rPr>
              <w:t>291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220" w:type="dxa"/>
            <w:tcBorders>
              <w:top w:val="nil"/>
              <w:left w:val="nil"/>
              <w:bottom w:val="single" w:color="auto" w:sz="12"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240" w:lineRule="auto"/>
              <w:ind w:left="0" w:leftChars="0" w:right="0" w:firstLine="0" w:firstLineChars="0"/>
              <w:jc w:val="left"/>
              <w:textAlignment w:val="auto"/>
              <w:rPr>
                <w:rFonts w:hint="default" w:ascii="Times New Roman" w:hAnsi="Times New Roman" w:eastAsia="宋体" w:cs="Times New Roman"/>
                <w:b w:val="0"/>
                <w:bCs/>
                <w:color w:val="0C0C0C"/>
                <w:kern w:val="0"/>
                <w:sz w:val="21"/>
                <w:szCs w:val="21"/>
                <w:highlight w:val="none"/>
                <w:lang w:val="en-US" w:eastAsia="zh-CN" w:bidi="ar"/>
              </w:rPr>
            </w:pPr>
            <w:r>
              <w:rPr>
                <w:rFonts w:hint="default" w:ascii="Times New Roman" w:hAnsi="Times New Roman" w:eastAsia="宋体" w:cs="Times New Roman"/>
                <w:b w:val="0"/>
                <w:bCs/>
                <w:color w:val="0C0C0C"/>
                <w:kern w:val="2"/>
                <w:sz w:val="21"/>
                <w:szCs w:val="21"/>
                <w:highlight w:val="none"/>
                <w:lang w:val="en-US" w:eastAsia="zh-CN" w:bidi="ar-SA"/>
              </w:rPr>
              <w:t>其他统计类别</w:t>
            </w:r>
          </w:p>
        </w:tc>
        <w:tc>
          <w:tcPr>
            <w:tcW w:w="2307"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color w:val="0C0C0C"/>
                <w:kern w:val="0"/>
                <w:sz w:val="21"/>
                <w:szCs w:val="21"/>
                <w:u w:val="none"/>
                <w:lang w:val="en" w:eastAsia="zh-CN" w:bidi="ar"/>
              </w:rPr>
            </w:pPr>
            <w:r>
              <w:rPr>
                <w:rFonts w:hint="default" w:ascii="Times New Roman" w:hAnsi="Times New Roman" w:eastAsia="宋体" w:cs="Times New Roman"/>
                <w:i w:val="0"/>
                <w:iCs w:val="0"/>
                <w:color w:val="000000"/>
                <w:kern w:val="0"/>
                <w:sz w:val="21"/>
                <w:szCs w:val="21"/>
                <w:u w:val="none"/>
                <w:lang w:val="en-US" w:eastAsia="zh-CN" w:bidi="ar"/>
              </w:rPr>
              <w:t>144</w:t>
            </w:r>
          </w:p>
        </w:tc>
        <w:tc>
          <w:tcPr>
            <w:tcW w:w="2307" w:type="dxa"/>
            <w:tcBorders>
              <w:top w:val="nil"/>
              <w:left w:val="single" w:color="auto" w:sz="4" w:space="0"/>
              <w:bottom w:val="single" w:color="auto" w:sz="12" w:space="0"/>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color w:val="0C0C0C"/>
                <w:kern w:val="0"/>
                <w:sz w:val="21"/>
                <w:szCs w:val="21"/>
                <w:u w:val="none"/>
                <w:lang w:val="en" w:eastAsia="zh-CN" w:bidi="ar"/>
              </w:rPr>
            </w:pPr>
            <w:r>
              <w:rPr>
                <w:rFonts w:hint="default" w:ascii="Times New Roman" w:hAnsi="Times New Roman" w:eastAsia="宋体" w:cs="Times New Roman"/>
                <w:i w:val="0"/>
                <w:iCs w:val="0"/>
                <w:color w:val="000000"/>
                <w:kern w:val="0"/>
                <w:sz w:val="21"/>
                <w:szCs w:val="21"/>
                <w:u w:val="none"/>
                <w:lang w:val="en-US" w:eastAsia="zh-CN" w:bidi="ar"/>
              </w:rPr>
              <w:t>249</w:t>
            </w:r>
          </w:p>
        </w:tc>
      </w:tr>
    </w:tbl>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center"/>
        <w:outlineLvl w:val="9"/>
        <w:rPr>
          <w:rFonts w:hint="eastAsia" w:ascii="楷体_GB2312" w:hAnsi="楷体_GB2312" w:eastAsia="楷体_GB2312" w:cs="楷体_GB2312"/>
          <w:color w:val="0C0C0C"/>
          <w:spacing w:val="-6"/>
          <w:sz w:val="32"/>
          <w:szCs w:val="32"/>
          <w:u w:val="none"/>
          <w:lang w:val="en-US" w:eastAsia="zh-CN"/>
        </w:rPr>
      </w:pPr>
      <w:r>
        <w:rPr>
          <w:rFonts w:hint="eastAsia" w:ascii="楷体_GB2312" w:hAnsi="楷体_GB2312" w:eastAsia="楷体_GB2312" w:cs="楷体_GB2312"/>
          <w:color w:val="0C0C0C"/>
          <w:spacing w:val="-6"/>
          <w:sz w:val="32"/>
          <w:szCs w:val="32"/>
          <w:u w:val="none"/>
          <w:lang w:val="en-US" w:eastAsia="zh-CN"/>
        </w:rPr>
        <w:t>（二）主要经济指标</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center"/>
        <w:outlineLvl w:val="9"/>
        <w:rPr>
          <w:rFonts w:hint="eastAsia" w:ascii="Times New Roman" w:hAnsi="Times New Roman" w:eastAsia="仿宋_GB2312" w:cs="仿宋_GB2312"/>
          <w:color w:val="0C0C0C"/>
          <w:spacing w:val="-6"/>
          <w:sz w:val="32"/>
          <w:szCs w:val="32"/>
          <w:u w:val="none"/>
          <w:lang w:val="en-US" w:eastAsia="zh-CN"/>
        </w:rPr>
      </w:pPr>
      <w:r>
        <w:rPr>
          <w:rFonts w:hint="eastAsia" w:ascii="Times New Roman" w:hAnsi="Times New Roman" w:eastAsia="仿宋_GB2312" w:cs="仿宋_GB2312"/>
          <w:color w:val="0C0C0C"/>
          <w:spacing w:val="-6"/>
          <w:sz w:val="32"/>
          <w:szCs w:val="32"/>
          <w:u w:val="none"/>
          <w:lang w:val="en-US" w:eastAsia="zh-CN"/>
        </w:rPr>
        <w:t>2023年末，批发和零售业企业法人单位资产总计2390.84亿元，比2018年末增长4.6倍；负债合计2251.82亿元，比2018年末增长5.3倍。</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center"/>
        <w:outlineLvl w:val="9"/>
        <w:rPr>
          <w:rFonts w:hint="eastAsia" w:ascii="Times New Roman" w:hAnsi="Times New Roman" w:eastAsia="仿宋_GB2312" w:cs="仿宋_GB2312"/>
          <w:color w:val="0C0C0C"/>
          <w:spacing w:val="-6"/>
          <w:sz w:val="32"/>
          <w:szCs w:val="32"/>
          <w:u w:val="none"/>
          <w:lang w:val="en-US" w:eastAsia="zh-CN"/>
        </w:rPr>
      </w:pPr>
      <w:r>
        <w:rPr>
          <w:rFonts w:hint="eastAsia" w:ascii="Times New Roman" w:hAnsi="Times New Roman" w:eastAsia="仿宋_GB2312" w:cs="仿宋_GB2312"/>
          <w:color w:val="0C0C0C"/>
          <w:spacing w:val="-6"/>
          <w:sz w:val="32"/>
          <w:szCs w:val="32"/>
          <w:u w:val="none"/>
          <w:lang w:val="en-US" w:eastAsia="zh-CN"/>
        </w:rPr>
        <w:t>2023年，批发和零售业企业法人单位全年实现营业收入13878.48亿元，比2018年增长7.3倍（详见表4-3）。</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20" w:lineRule="exact"/>
        <w:ind w:left="0" w:leftChars="0" w:right="0" w:firstLine="0" w:firstLineChars="0"/>
        <w:jc w:val="center"/>
        <w:textAlignment w:val="auto"/>
        <w:rPr>
          <w:rFonts w:hint="eastAsia" w:ascii="Times New Roman" w:hAnsi="Times New Roman" w:eastAsia="宋体" w:cs="Times New Roman"/>
          <w:b/>
          <w:i w:val="0"/>
          <w:caps w:val="0"/>
          <w:color w:val="0C0C0C"/>
          <w:spacing w:val="0"/>
          <w:kern w:val="0"/>
          <w:sz w:val="24"/>
          <w:szCs w:val="24"/>
          <w:highlight w:val="none"/>
          <w:lang w:val="en-US" w:eastAsia="zh-CN" w:bidi="ar"/>
        </w:rPr>
      </w:pPr>
      <w:r>
        <w:rPr>
          <w:rFonts w:hint="eastAsia" w:ascii="Times New Roman" w:hAnsi="Times New Roman" w:eastAsia="宋体" w:cs="Times New Roman"/>
          <w:b/>
          <w:i w:val="0"/>
          <w:caps w:val="0"/>
          <w:color w:val="0C0C0C"/>
          <w:spacing w:val="0"/>
          <w:kern w:val="0"/>
          <w:sz w:val="24"/>
          <w:szCs w:val="24"/>
          <w:highlight w:val="none"/>
          <w:lang w:val="en-US" w:eastAsia="zh-CN" w:bidi="ar"/>
        </w:rPr>
        <w:t>表4-3　按行业中类分组的批发和零售业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20" w:lineRule="exact"/>
        <w:ind w:left="0" w:leftChars="0" w:right="0" w:firstLine="0" w:firstLineChars="0"/>
        <w:jc w:val="center"/>
        <w:textAlignment w:val="auto"/>
        <w:rPr>
          <w:rFonts w:hint="eastAsia" w:ascii="Times New Roman" w:hAnsi="Times New Roman" w:eastAsia="宋体" w:cs="Times New Roman"/>
          <w:b/>
          <w:i w:val="0"/>
          <w:caps w:val="0"/>
          <w:color w:val="0C0C0C"/>
          <w:spacing w:val="0"/>
          <w:kern w:val="0"/>
          <w:sz w:val="24"/>
          <w:szCs w:val="24"/>
          <w:highlight w:val="none"/>
          <w:lang w:val="en-US" w:eastAsia="zh-CN" w:bidi="ar"/>
        </w:rPr>
      </w:pPr>
      <w:r>
        <w:rPr>
          <w:rFonts w:hint="eastAsia" w:ascii="Times New Roman" w:hAnsi="Times New Roman" w:eastAsia="宋体" w:cs="Times New Roman"/>
          <w:b/>
          <w:i w:val="0"/>
          <w:caps w:val="0"/>
          <w:color w:val="0C0C0C"/>
          <w:spacing w:val="0"/>
          <w:kern w:val="0"/>
          <w:sz w:val="24"/>
          <w:szCs w:val="24"/>
          <w:highlight w:val="none"/>
          <w:lang w:val="en-US" w:eastAsia="zh-CN" w:bidi="ar"/>
        </w:rPr>
        <w:t>企业法人单位主要经济指标</w:t>
      </w:r>
    </w:p>
    <w:tbl>
      <w:tblPr>
        <w:tblStyle w:val="11"/>
        <w:tblW w:w="8834" w:type="dxa"/>
        <w:jc w:val="center"/>
        <w:tblInd w:w="0" w:type="dxa"/>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
      <w:tblGrid>
        <w:gridCol w:w="5272"/>
        <w:gridCol w:w="1186"/>
        <w:gridCol w:w="1188"/>
        <w:gridCol w:w="1188"/>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23" w:hRule="atLeast"/>
          <w:jc w:val="center"/>
        </w:trPr>
        <w:tc>
          <w:tcPr>
            <w:tcW w:w="5272" w:type="dxa"/>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50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　</w:t>
            </w:r>
          </w:p>
        </w:tc>
        <w:tc>
          <w:tcPr>
            <w:tcW w:w="1186" w:type="dxa"/>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资产总计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（亿元）</w:t>
            </w:r>
          </w:p>
        </w:tc>
        <w:tc>
          <w:tcPr>
            <w:tcW w:w="1188" w:type="dxa"/>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负债合计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（亿元）</w:t>
            </w:r>
          </w:p>
        </w:tc>
        <w:tc>
          <w:tcPr>
            <w:tcW w:w="1188" w:type="dxa"/>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营业收入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（亿元）</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op w:val="single" w:color="auto" w:sz="8" w:space="0"/>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1186" w:type="dxa"/>
            <w:tcBorders>
              <w:top w:val="single" w:color="auto" w:sz="8" w:space="0"/>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 xml:space="preserve">2390.84 </w:t>
            </w:r>
          </w:p>
        </w:tc>
        <w:tc>
          <w:tcPr>
            <w:tcW w:w="1188" w:type="dxa"/>
            <w:tcBorders>
              <w:top w:val="single" w:color="auto" w:sz="8" w:space="0"/>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 xml:space="preserve">2251.82 </w:t>
            </w:r>
          </w:p>
        </w:tc>
        <w:tc>
          <w:tcPr>
            <w:tcW w:w="1188" w:type="dxa"/>
            <w:tcBorders>
              <w:top w:val="single" w:color="auto" w:sz="8" w:space="0"/>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 xml:space="preserve">13878.48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批发业</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 xml:space="preserve">2286.05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 xml:space="preserve">2159.09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 xml:space="preserve">13612.58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农、林、牧、渔产品批发</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26.72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23.50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154.72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食品、饮料及烟草制品批发</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66.82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52.32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122.27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纺织、服装及家庭用品批发</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76.58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68.09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116.47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文化、体育用品及器材批发</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17.99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7.73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13.53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医药及医疗器材批发</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8.06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5.82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10.55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矿产品、建材及化工产品批发</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1921.97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1843.18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12171.17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机械设备、五金产品及电子产品批发</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142.05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135.80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993.44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贸易经纪与代理</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1.56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1.44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1.23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其他批发业</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24.31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21.20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29.19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零售业</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 xml:space="preserve">104.79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 xml:space="preserve">92.74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 xml:space="preserve">265.90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综合零售</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3.56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2.54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6.74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食品、饮料及烟草制品专门零售</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5.69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4.91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6.07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纺织、服装及日用品专门零售</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9.92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9.81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8.49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文化、体育用品及器材专门零售</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2.18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1.88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2.46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医药及医疗器材专门零售</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5.86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5.43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5.49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汽车、摩托车、零配件和燃料及其他动力销售</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41.16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35.62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101.90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家用电器及电子产品专门零售</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6.25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4.92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5.63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五金、家具及室内装饰材料专门零售</w:t>
            </w:r>
          </w:p>
        </w:tc>
        <w:tc>
          <w:tcPr>
            <w:tcW w:w="1186"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10.49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8.88 </w:t>
            </w:r>
          </w:p>
        </w:tc>
        <w:tc>
          <w:tcPr>
            <w:tcW w:w="1188"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8.56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5272" w:type="dxa"/>
            <w:tcBorders>
              <w:bottom w:val="single" w:color="auto" w:sz="12"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货摊、无店铺及其他零售业</w:t>
            </w:r>
          </w:p>
        </w:tc>
        <w:tc>
          <w:tcPr>
            <w:tcW w:w="1186" w:type="dxa"/>
            <w:tcBorders>
              <w:bottom w:val="single" w:color="auto" w:sz="12" w:space="0"/>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19.67 </w:t>
            </w:r>
          </w:p>
        </w:tc>
        <w:tc>
          <w:tcPr>
            <w:tcW w:w="1188" w:type="dxa"/>
            <w:tcBorders>
              <w:bottom w:val="single" w:color="auto" w:sz="12" w:space="0"/>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18.75 </w:t>
            </w:r>
          </w:p>
        </w:tc>
        <w:tc>
          <w:tcPr>
            <w:tcW w:w="1188" w:type="dxa"/>
            <w:tcBorders>
              <w:bottom w:val="single" w:color="auto" w:sz="12" w:space="0"/>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120.56 </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黑体" w:hAnsi="黑体" w:eastAsia="黑体" w:cs="黑体"/>
          <w:i w:val="0"/>
          <w:caps w:val="0"/>
          <w:color w:val="0C0C0C"/>
          <w:spacing w:val="0"/>
          <w:sz w:val="32"/>
          <w:szCs w:val="32"/>
          <w:highlight w:val="none"/>
        </w:rPr>
      </w:pPr>
      <w:r>
        <w:rPr>
          <w:rFonts w:hint="eastAsia" w:ascii="黑体" w:hAnsi="黑体" w:eastAsia="黑体" w:cs="黑体"/>
          <w:b w:val="0"/>
          <w:bCs/>
          <w:i w:val="0"/>
          <w:caps w:val="0"/>
          <w:color w:val="0C0C0C"/>
          <w:spacing w:val="0"/>
          <w:kern w:val="0"/>
          <w:sz w:val="32"/>
          <w:szCs w:val="32"/>
          <w:highlight w:val="none"/>
          <w:lang w:val="en-US" w:eastAsia="zh-CN" w:bidi="ar"/>
        </w:rPr>
        <w:t>二、交通运输、仓储和邮政业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楷体_GB2312" w:hAnsi="楷体_GB2312" w:eastAsia="楷体_GB2312" w:cs="楷体_GB2312"/>
          <w:i w:val="0"/>
          <w:caps w:val="0"/>
          <w:color w:val="0C0C0C"/>
          <w:spacing w:val="0"/>
          <w:sz w:val="32"/>
          <w:szCs w:val="32"/>
          <w:highlight w:val="none"/>
          <w:lang w:val="en-US"/>
        </w:rPr>
      </w:pPr>
      <w:r>
        <w:rPr>
          <w:rFonts w:hint="eastAsia" w:ascii="楷体_GB2312" w:hAnsi="楷体_GB2312" w:eastAsia="楷体_GB2312" w:cs="楷体_GB2312"/>
          <w:i w:val="0"/>
          <w:caps w:val="0"/>
          <w:color w:val="0C0C0C"/>
          <w:spacing w:val="0"/>
          <w:kern w:val="0"/>
          <w:sz w:val="32"/>
          <w:szCs w:val="32"/>
          <w:highlight w:val="none"/>
          <w:lang w:val="en-US" w:eastAsia="zh-CN" w:bidi="ar"/>
        </w:rPr>
        <w:t>（一）企业法人单位数和从业人员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color w:val="0C0C0C"/>
          <w:spacing w:val="-6"/>
          <w:kern w:val="2"/>
          <w:sz w:val="32"/>
          <w:szCs w:val="32"/>
          <w:u w:val="none"/>
          <w:lang w:val="en-US" w:eastAsia="zh-CN" w:bidi="ar-SA"/>
        </w:rPr>
        <w:t>2023年末，全区共有交通运输、仓储和邮政业企业法人单位</w:t>
      </w:r>
      <w:r>
        <w:rPr>
          <w:rFonts w:hint="eastAsia" w:ascii="Times New Roman" w:hAnsi="Times New Roman" w:eastAsia="仿宋_GB2312" w:cs="仿宋_GB2312"/>
          <w:color w:val="0C0C0C"/>
          <w:sz w:val="32"/>
          <w:szCs w:val="32"/>
          <w:u w:val="none"/>
          <w:lang w:val="en-US" w:eastAsia="zh-CN"/>
        </w:rPr>
        <w:t>1398</w:t>
      </w:r>
      <w:r>
        <w:rPr>
          <w:rFonts w:hint="eastAsia" w:ascii="Times New Roman" w:hAnsi="Times New Roman" w:eastAsia="仿宋_GB2312" w:cs="仿宋_GB2312"/>
          <w:color w:val="0C0C0C"/>
          <w:spacing w:val="-6"/>
          <w:kern w:val="2"/>
          <w:sz w:val="32"/>
          <w:szCs w:val="32"/>
          <w:u w:val="none"/>
          <w:lang w:val="en-US" w:eastAsia="zh-CN" w:bidi="ar-SA"/>
        </w:rPr>
        <w:t>个，从业人员</w:t>
      </w:r>
      <w:r>
        <w:rPr>
          <w:rFonts w:hint="eastAsia" w:ascii="Times New Roman" w:hAnsi="Times New Roman" w:eastAsia="仿宋_GB2312" w:cs="仿宋_GB2312"/>
          <w:color w:val="0C0C0C"/>
          <w:sz w:val="32"/>
          <w:szCs w:val="32"/>
          <w:u w:val="none"/>
          <w:lang w:val="en-US" w:eastAsia="zh-CN"/>
        </w:rPr>
        <w:t>1.30万</w:t>
      </w:r>
      <w:r>
        <w:rPr>
          <w:rFonts w:hint="eastAsia" w:ascii="Times New Roman" w:hAnsi="Times New Roman" w:eastAsia="仿宋_GB2312" w:cs="仿宋_GB2312"/>
          <w:color w:val="0C0C0C"/>
          <w:spacing w:val="-6"/>
          <w:kern w:val="2"/>
          <w:sz w:val="32"/>
          <w:szCs w:val="32"/>
          <w:u w:val="none"/>
          <w:lang w:val="en-US" w:eastAsia="zh-CN" w:bidi="ar-SA"/>
        </w:rPr>
        <w:t>人，分别比2018年末增长</w:t>
      </w:r>
      <w:r>
        <w:rPr>
          <w:rFonts w:hint="eastAsia" w:ascii="Times New Roman" w:hAnsi="Times New Roman" w:eastAsia="仿宋_GB2312" w:cs="仿宋_GB2312"/>
          <w:color w:val="0C0C0C"/>
          <w:sz w:val="32"/>
          <w:szCs w:val="32"/>
          <w:u w:val="none"/>
          <w:lang w:val="en-US" w:eastAsia="zh-CN"/>
        </w:rPr>
        <w:t>1.2倍</w:t>
      </w:r>
      <w:r>
        <w:rPr>
          <w:rFonts w:hint="eastAsia" w:ascii="Times New Roman" w:hAnsi="Times New Roman" w:eastAsia="仿宋_GB2312" w:cs="仿宋_GB2312"/>
          <w:color w:val="0C0C0C"/>
          <w:spacing w:val="-6"/>
          <w:kern w:val="2"/>
          <w:sz w:val="32"/>
          <w:szCs w:val="32"/>
          <w:u w:val="none"/>
          <w:lang w:val="en-US" w:eastAsia="zh-CN" w:bidi="ar-SA"/>
        </w:rPr>
        <w:t>和</w:t>
      </w:r>
      <w:r>
        <w:rPr>
          <w:rFonts w:hint="eastAsia" w:ascii="Times New Roman" w:hAnsi="Times New Roman" w:eastAsia="仿宋_GB2312" w:cs="仿宋_GB2312"/>
          <w:color w:val="0C0C0C"/>
          <w:sz w:val="32"/>
          <w:szCs w:val="32"/>
          <w:u w:val="none"/>
          <w:lang w:val="en-US" w:eastAsia="zh-CN"/>
        </w:rPr>
        <w:t>81.4</w:t>
      </w:r>
      <w:r>
        <w:rPr>
          <w:rFonts w:hint="eastAsia" w:ascii="Times New Roman" w:hAnsi="Times New Roman" w:eastAsia="仿宋_GB2312" w:cs="仿宋_GB2312"/>
          <w:color w:val="0C0C0C"/>
          <w:spacing w:val="-6"/>
          <w:kern w:val="2"/>
          <w:sz w:val="32"/>
          <w:szCs w:val="32"/>
          <w:u w:val="none"/>
          <w:lang w:val="en-US" w:eastAsia="zh-CN" w:bidi="ar-SA"/>
        </w:rPr>
        <w:t>%（详见表4-4）。</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表4-4　按行业大类分组的交通运输、仓储和邮政业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企业法人单位数和从业人员</w:t>
      </w:r>
    </w:p>
    <w:tbl>
      <w:tblPr>
        <w:tblStyle w:val="11"/>
        <w:tblW w:w="8834"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3828"/>
        <w:gridCol w:w="2503"/>
        <w:gridCol w:w="2503"/>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PrEx>
        <w:trPr>
          <w:trHeight w:val="23" w:hRule="atLeast"/>
          <w:jc w:val="center"/>
        </w:trPr>
        <w:tc>
          <w:tcPr>
            <w:tcW w:w="3828" w:type="dxa"/>
            <w:tcBorders>
              <w:top w:val="single" w:color="auto" w:sz="12" w:space="0"/>
              <w:left w:val="nil"/>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　</w:t>
            </w:r>
          </w:p>
        </w:tc>
        <w:tc>
          <w:tcPr>
            <w:tcW w:w="2503"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企业法人单位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（个）</w:t>
            </w:r>
          </w:p>
        </w:tc>
        <w:tc>
          <w:tcPr>
            <w:tcW w:w="2503" w:type="dxa"/>
            <w:tcBorders>
              <w:top w:val="single" w:color="auto" w:sz="12" w:space="0"/>
              <w:left w:val="single" w:color="auto" w:sz="4" w:space="0"/>
              <w:bottom w:val="single" w:color="auto" w:sz="4"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28" w:type="dxa"/>
            <w:tcBorders>
              <w:top w:val="single" w:color="auto" w:sz="4" w:space="0"/>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2503"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1398</w:t>
            </w:r>
          </w:p>
        </w:tc>
        <w:tc>
          <w:tcPr>
            <w:tcW w:w="2503" w:type="dxa"/>
            <w:tcBorders>
              <w:top w:val="single" w:color="auto" w:sz="4" w:space="0"/>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13032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28"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道路运输业</w:t>
            </w:r>
          </w:p>
        </w:tc>
        <w:tc>
          <w:tcPr>
            <w:tcW w:w="2503"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669</w:t>
            </w:r>
          </w:p>
        </w:tc>
        <w:tc>
          <w:tcPr>
            <w:tcW w:w="250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i w:val="0"/>
                <w:color w:val="0C0C0C"/>
                <w:kern w:val="0"/>
                <w:sz w:val="21"/>
                <w:szCs w:val="21"/>
                <w:highlight w:val="none"/>
                <w:u w:val="none"/>
                <w:lang w:val="en" w:eastAsia="zh-CN" w:bidi="ar"/>
              </w:rPr>
            </w:pPr>
            <w:r>
              <w:rPr>
                <w:rFonts w:hint="eastAsia" w:ascii="Times New Roman" w:hAnsi="Times New Roman" w:eastAsia="宋体" w:cs="宋体"/>
                <w:i w:val="0"/>
                <w:iCs w:val="0"/>
                <w:color w:val="000000"/>
                <w:kern w:val="0"/>
                <w:sz w:val="21"/>
                <w:szCs w:val="21"/>
                <w:u w:val="none"/>
                <w:lang w:val="en-US" w:eastAsia="zh-CN" w:bidi="ar"/>
              </w:rPr>
              <w:t>7205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28"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水上运输业</w:t>
            </w:r>
          </w:p>
        </w:tc>
        <w:tc>
          <w:tcPr>
            <w:tcW w:w="2503"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26</w:t>
            </w:r>
          </w:p>
        </w:tc>
        <w:tc>
          <w:tcPr>
            <w:tcW w:w="250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i w:val="0"/>
                <w:color w:val="0C0C0C"/>
                <w:kern w:val="0"/>
                <w:sz w:val="21"/>
                <w:szCs w:val="21"/>
                <w:highlight w:val="none"/>
                <w:u w:val="none"/>
                <w:lang w:val="en" w:eastAsia="zh-CN" w:bidi="ar"/>
              </w:rPr>
            </w:pPr>
            <w:r>
              <w:rPr>
                <w:rFonts w:hint="eastAsia" w:ascii="Times New Roman" w:hAnsi="Times New Roman" w:eastAsia="宋体" w:cs="宋体"/>
                <w:i w:val="0"/>
                <w:iCs w:val="0"/>
                <w:color w:val="000000"/>
                <w:kern w:val="0"/>
                <w:sz w:val="21"/>
                <w:szCs w:val="21"/>
                <w:u w:val="none"/>
                <w:lang w:val="en-US" w:eastAsia="zh-CN" w:bidi="ar"/>
              </w:rPr>
              <w:t>190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28"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航空运输业</w:t>
            </w:r>
          </w:p>
        </w:tc>
        <w:tc>
          <w:tcPr>
            <w:tcW w:w="2503"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w:t>
            </w:r>
          </w:p>
        </w:tc>
        <w:tc>
          <w:tcPr>
            <w:tcW w:w="250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i w:val="0"/>
                <w:color w:val="0C0C0C"/>
                <w:kern w:val="0"/>
                <w:sz w:val="21"/>
                <w:szCs w:val="21"/>
                <w:highlight w:val="none"/>
                <w:u w:val="none"/>
                <w:lang w:val="en" w:eastAsia="zh-CN" w:bidi="ar"/>
              </w:rPr>
            </w:pPr>
            <w:r>
              <w:rPr>
                <w:rFonts w:hint="eastAsia" w:ascii="Times New Roman" w:hAnsi="Times New Roman" w:eastAsia="宋体" w:cs="宋体"/>
                <w:i w:val="0"/>
                <w:iCs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28"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管道运输业</w:t>
            </w:r>
          </w:p>
        </w:tc>
        <w:tc>
          <w:tcPr>
            <w:tcW w:w="2503"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default" w:ascii="Times New Roman" w:hAnsi="Times New Roman" w:eastAsia="宋体" w:cs="Times New Roman"/>
                <w:b w:val="0"/>
                <w:bCs w:val="0"/>
                <w:color w:val="0C0C0C"/>
                <w:kern w:val="2"/>
                <w:sz w:val="21"/>
                <w:szCs w:val="21"/>
                <w:highlight w:val="none"/>
                <w:lang w:val="en-US" w:eastAsia="zh-CN" w:bidi="ar-SA"/>
              </w:rPr>
              <w:t>—</w:t>
            </w:r>
          </w:p>
        </w:tc>
        <w:tc>
          <w:tcPr>
            <w:tcW w:w="250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i w:val="0"/>
                <w:color w:val="0C0C0C"/>
                <w:kern w:val="0"/>
                <w:sz w:val="21"/>
                <w:szCs w:val="21"/>
                <w:highlight w:val="none"/>
                <w:u w:val="none"/>
                <w:lang w:val="en" w:eastAsia="zh-CN" w:bidi="ar"/>
              </w:rPr>
            </w:pPr>
            <w:r>
              <w:rPr>
                <w:rFonts w:hint="default" w:ascii="Times New Roman" w:hAnsi="Times New Roman" w:eastAsia="宋体" w:cs="Times New Roman"/>
                <w:b w:val="0"/>
                <w:bCs w:val="0"/>
                <w:color w:val="0C0C0C"/>
                <w:kern w:val="2"/>
                <w:sz w:val="21"/>
                <w:szCs w:val="21"/>
                <w:highlight w:val="none"/>
                <w:lang w:val="en-US" w:eastAsia="zh-CN" w:bidi="ar-SA"/>
              </w:rPr>
              <w:t>—</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28"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多式联运和运输代理业</w:t>
            </w:r>
          </w:p>
        </w:tc>
        <w:tc>
          <w:tcPr>
            <w:tcW w:w="2503"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290</w:t>
            </w:r>
          </w:p>
        </w:tc>
        <w:tc>
          <w:tcPr>
            <w:tcW w:w="250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i w:val="0"/>
                <w:color w:val="0C0C0C"/>
                <w:kern w:val="0"/>
                <w:sz w:val="21"/>
                <w:szCs w:val="21"/>
                <w:highlight w:val="none"/>
                <w:u w:val="none"/>
                <w:lang w:val="en" w:eastAsia="zh-CN" w:bidi="ar"/>
              </w:rPr>
            </w:pPr>
            <w:r>
              <w:rPr>
                <w:rFonts w:hint="eastAsia" w:ascii="Times New Roman" w:hAnsi="Times New Roman" w:eastAsia="宋体" w:cs="宋体"/>
                <w:i w:val="0"/>
                <w:iCs w:val="0"/>
                <w:color w:val="000000"/>
                <w:kern w:val="0"/>
                <w:sz w:val="21"/>
                <w:szCs w:val="21"/>
                <w:u w:val="none"/>
                <w:lang w:val="en-US" w:eastAsia="zh-CN" w:bidi="ar"/>
              </w:rPr>
              <w:t>1536</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28"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装卸搬运和仓储业</w:t>
            </w:r>
          </w:p>
        </w:tc>
        <w:tc>
          <w:tcPr>
            <w:tcW w:w="2503"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319</w:t>
            </w:r>
          </w:p>
        </w:tc>
        <w:tc>
          <w:tcPr>
            <w:tcW w:w="250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i w:val="0"/>
                <w:color w:val="0C0C0C"/>
                <w:kern w:val="0"/>
                <w:sz w:val="21"/>
                <w:szCs w:val="21"/>
                <w:highlight w:val="none"/>
                <w:u w:val="none"/>
                <w:lang w:val="en" w:eastAsia="zh-CN" w:bidi="ar"/>
              </w:rPr>
            </w:pPr>
            <w:r>
              <w:rPr>
                <w:rFonts w:hint="eastAsia" w:ascii="Times New Roman" w:hAnsi="Times New Roman" w:eastAsia="宋体" w:cs="宋体"/>
                <w:i w:val="0"/>
                <w:iCs w:val="0"/>
                <w:color w:val="000000"/>
                <w:kern w:val="0"/>
                <w:sz w:val="21"/>
                <w:szCs w:val="21"/>
                <w:u w:val="none"/>
                <w:lang w:val="en-US" w:eastAsia="zh-CN" w:bidi="ar"/>
              </w:rPr>
              <w:t>3374</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28" w:type="dxa"/>
            <w:tcBorders>
              <w:top w:val="nil"/>
              <w:left w:val="nil"/>
              <w:bottom w:val="single" w:color="auto" w:sz="12"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邮政业</w:t>
            </w:r>
          </w:p>
        </w:tc>
        <w:tc>
          <w:tcPr>
            <w:tcW w:w="2503"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宋体"/>
                <w:color w:val="0C0C0C"/>
                <w:kern w:val="2"/>
                <w:sz w:val="21"/>
                <w:szCs w:val="21"/>
                <w:highlight w:val="none"/>
                <w:lang w:val="en-US" w:eastAsia="zh-CN" w:bidi="ar-SA"/>
              </w:rPr>
            </w:pPr>
            <w:r>
              <w:rPr>
                <w:rFonts w:hint="eastAsia" w:ascii="Times New Roman" w:hAnsi="Times New Roman" w:eastAsia="宋体" w:cs="宋体"/>
                <w:i w:val="0"/>
                <w:iCs w:val="0"/>
                <w:color w:val="000000"/>
                <w:kern w:val="0"/>
                <w:sz w:val="21"/>
                <w:szCs w:val="21"/>
                <w:u w:val="none"/>
                <w:lang w:val="en-US" w:eastAsia="zh-CN" w:bidi="ar"/>
              </w:rPr>
              <w:t>91</w:t>
            </w:r>
          </w:p>
        </w:tc>
        <w:tc>
          <w:tcPr>
            <w:tcW w:w="2503" w:type="dxa"/>
            <w:tcBorders>
              <w:top w:val="nil"/>
              <w:left w:val="single" w:color="auto" w:sz="4" w:space="0"/>
              <w:bottom w:val="single" w:color="auto" w:sz="12" w:space="0"/>
              <w:right w:val="nil"/>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宋体"/>
                <w:i w:val="0"/>
                <w:color w:val="0C0C0C"/>
                <w:kern w:val="0"/>
                <w:sz w:val="21"/>
                <w:szCs w:val="21"/>
                <w:highlight w:val="none"/>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724</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在交通运输、仓储和邮政业企业法人单位中，内资企业占</w:t>
      </w:r>
      <w:r>
        <w:rPr>
          <w:rFonts w:hint="eastAsia" w:ascii="Times New Roman" w:hAnsi="Times New Roman" w:eastAsia="仿宋_GB2312" w:cs="仿宋_GB2312"/>
          <w:color w:val="0C0C0C"/>
          <w:sz w:val="32"/>
          <w:szCs w:val="32"/>
          <w:u w:val="none"/>
          <w:lang w:val="en-US" w:eastAsia="zh-CN"/>
        </w:rPr>
        <w:t>97.9</w:t>
      </w:r>
      <w:r>
        <w:rPr>
          <w:rFonts w:hint="eastAsia" w:ascii="Times New Roman" w:hAnsi="Times New Roman" w:eastAsia="仿宋_GB2312" w:cs="仿宋_GB2312"/>
          <w:color w:val="0C0C0C"/>
          <w:spacing w:val="-6"/>
          <w:kern w:val="2"/>
          <w:sz w:val="32"/>
          <w:szCs w:val="32"/>
          <w:u w:val="none"/>
          <w:lang w:val="en-US" w:eastAsia="zh-CN" w:bidi="ar-SA"/>
        </w:rPr>
        <w:t>%，港澳台投资企业占</w:t>
      </w:r>
      <w:r>
        <w:rPr>
          <w:rFonts w:hint="eastAsia" w:ascii="Times New Roman" w:hAnsi="Times New Roman" w:eastAsia="仿宋_GB2312" w:cs="仿宋_GB2312"/>
          <w:color w:val="0C0C0C"/>
          <w:sz w:val="32"/>
          <w:szCs w:val="32"/>
          <w:u w:val="none"/>
          <w:lang w:val="en-US" w:eastAsia="zh-CN"/>
        </w:rPr>
        <w:t>1.7</w:t>
      </w:r>
      <w:r>
        <w:rPr>
          <w:rFonts w:hint="eastAsia" w:ascii="Times New Roman" w:hAnsi="Times New Roman" w:eastAsia="仿宋_GB2312" w:cs="仿宋_GB2312"/>
          <w:color w:val="0C0C0C"/>
          <w:spacing w:val="-6"/>
          <w:kern w:val="2"/>
          <w:sz w:val="32"/>
          <w:szCs w:val="32"/>
          <w:u w:val="none"/>
          <w:lang w:val="en-US" w:eastAsia="zh-CN" w:bidi="ar-SA"/>
        </w:rPr>
        <w:t>%，外商投资企业占</w:t>
      </w:r>
      <w:r>
        <w:rPr>
          <w:rFonts w:hint="eastAsia" w:ascii="Times New Roman" w:hAnsi="Times New Roman" w:eastAsia="仿宋_GB2312" w:cs="仿宋_GB2312"/>
          <w:color w:val="0C0C0C"/>
          <w:sz w:val="32"/>
          <w:szCs w:val="32"/>
          <w:u w:val="none"/>
          <w:lang w:val="en-US" w:eastAsia="zh-CN"/>
        </w:rPr>
        <w:t>0.4</w:t>
      </w:r>
      <w:r>
        <w:rPr>
          <w:rFonts w:hint="eastAsia" w:ascii="Times New Roman" w:hAnsi="Times New Roman" w:eastAsia="仿宋_GB2312" w:cs="仿宋_GB2312"/>
          <w:color w:val="0C0C0C"/>
          <w:spacing w:val="-6"/>
          <w:kern w:val="2"/>
          <w:sz w:val="32"/>
          <w:szCs w:val="32"/>
          <w:u w:val="none"/>
          <w:lang w:val="en-US" w:eastAsia="zh-CN" w:bidi="ar-SA"/>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b/>
          <w:i w:val="0"/>
          <w:caps w:val="0"/>
          <w:color w:val="0C0C0C"/>
          <w:spacing w:val="0"/>
          <w:kern w:val="0"/>
          <w:sz w:val="32"/>
          <w:szCs w:val="32"/>
          <w:highlight w:val="none"/>
          <w:lang w:val="en-US" w:eastAsia="zh-CN" w:bidi="ar"/>
        </w:rPr>
      </w:pPr>
      <w:r>
        <w:rPr>
          <w:rFonts w:hint="eastAsia" w:ascii="Times New Roman" w:hAnsi="Times New Roman" w:eastAsia="仿宋_GB2312" w:cs="仿宋_GB2312"/>
          <w:color w:val="0C0C0C"/>
          <w:spacing w:val="-6"/>
          <w:kern w:val="2"/>
          <w:sz w:val="32"/>
          <w:szCs w:val="32"/>
          <w:u w:val="none"/>
          <w:lang w:val="en-US" w:eastAsia="zh-CN" w:bidi="ar-SA"/>
        </w:rPr>
        <w:t>在交通运输、仓储和邮政业企业法人单位从业人员中，内资企业占</w:t>
      </w:r>
      <w:r>
        <w:rPr>
          <w:rFonts w:hint="eastAsia" w:ascii="Times New Roman" w:hAnsi="Times New Roman" w:eastAsia="仿宋_GB2312" w:cs="仿宋_GB2312"/>
          <w:color w:val="0C0C0C"/>
          <w:sz w:val="32"/>
          <w:szCs w:val="32"/>
          <w:u w:val="none"/>
          <w:lang w:val="en-US" w:eastAsia="zh-CN"/>
        </w:rPr>
        <w:t>96.7</w:t>
      </w:r>
      <w:r>
        <w:rPr>
          <w:rFonts w:hint="eastAsia" w:ascii="Times New Roman" w:hAnsi="Times New Roman" w:eastAsia="仿宋_GB2312" w:cs="仿宋_GB2312"/>
          <w:color w:val="0C0C0C"/>
          <w:spacing w:val="-6"/>
          <w:kern w:val="2"/>
          <w:sz w:val="32"/>
          <w:szCs w:val="32"/>
          <w:u w:val="none"/>
          <w:lang w:val="en-US" w:eastAsia="zh-CN" w:bidi="ar-SA"/>
        </w:rPr>
        <w:t>%，港澳台投资企业占</w:t>
      </w:r>
      <w:r>
        <w:rPr>
          <w:rFonts w:hint="eastAsia" w:ascii="Times New Roman" w:hAnsi="Times New Roman" w:eastAsia="仿宋_GB2312" w:cs="仿宋_GB2312"/>
          <w:color w:val="0C0C0C"/>
          <w:sz w:val="32"/>
          <w:szCs w:val="32"/>
          <w:u w:val="none"/>
          <w:lang w:val="en-US" w:eastAsia="zh-CN"/>
        </w:rPr>
        <w:t>3.0</w:t>
      </w:r>
      <w:r>
        <w:rPr>
          <w:rFonts w:hint="eastAsia" w:ascii="Times New Roman" w:hAnsi="Times New Roman" w:eastAsia="仿宋_GB2312" w:cs="仿宋_GB2312"/>
          <w:color w:val="0C0C0C"/>
          <w:spacing w:val="-6"/>
          <w:kern w:val="2"/>
          <w:sz w:val="32"/>
          <w:szCs w:val="32"/>
          <w:u w:val="none"/>
          <w:lang w:val="en-US" w:eastAsia="zh-CN" w:bidi="ar-SA"/>
        </w:rPr>
        <w:t>%，外商投资企业占</w:t>
      </w:r>
      <w:r>
        <w:rPr>
          <w:rFonts w:hint="eastAsia" w:ascii="Times New Roman" w:hAnsi="Times New Roman" w:eastAsia="仿宋_GB2312" w:cs="仿宋_GB2312"/>
          <w:color w:val="0C0C0C"/>
          <w:sz w:val="32"/>
          <w:szCs w:val="32"/>
          <w:u w:val="none"/>
          <w:lang w:val="en-US" w:eastAsia="zh-CN"/>
        </w:rPr>
        <w:t>0.4</w:t>
      </w:r>
      <w:r>
        <w:rPr>
          <w:rFonts w:hint="eastAsia" w:ascii="Times New Roman" w:hAnsi="Times New Roman" w:eastAsia="仿宋_GB2312" w:cs="仿宋_GB2312"/>
          <w:color w:val="0C0C0C"/>
          <w:spacing w:val="-6"/>
          <w:kern w:val="2"/>
          <w:sz w:val="32"/>
          <w:szCs w:val="32"/>
          <w:u w:val="none"/>
          <w:lang w:val="en-US" w:eastAsia="zh-CN" w:bidi="ar-SA"/>
        </w:rPr>
        <w:t>%（详见表4-5）。</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表4-5　按登记注册统计类别分组的交通运输、仓储和邮政业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企业法人单位数和从业人员</w:t>
      </w:r>
    </w:p>
    <w:tbl>
      <w:tblPr>
        <w:tblStyle w:val="11"/>
        <w:tblW w:w="8834"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3902"/>
        <w:gridCol w:w="2465"/>
        <w:gridCol w:w="2467"/>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3" w:hRule="atLeast"/>
          <w:jc w:val="center"/>
        </w:trPr>
        <w:tc>
          <w:tcPr>
            <w:tcW w:w="3902" w:type="dxa"/>
            <w:tcBorders>
              <w:top w:val="single" w:color="auto" w:sz="12" w:space="0"/>
              <w:left w:val="nil"/>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color w:val="0C0C0C"/>
                <w:sz w:val="21"/>
                <w:szCs w:val="21"/>
                <w:highlight w:val="none"/>
              </w:rPr>
            </w:pPr>
          </w:p>
        </w:tc>
        <w:tc>
          <w:tcPr>
            <w:tcW w:w="2465"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企业法人单位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（个）</w:t>
            </w:r>
          </w:p>
        </w:tc>
        <w:tc>
          <w:tcPr>
            <w:tcW w:w="2467" w:type="dxa"/>
            <w:tcBorders>
              <w:top w:val="single" w:color="auto" w:sz="12" w:space="0"/>
              <w:left w:val="single" w:color="auto" w:sz="4" w:space="0"/>
              <w:bottom w:val="single" w:color="auto" w:sz="4"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902" w:type="dxa"/>
            <w:tcBorders>
              <w:top w:val="single" w:color="auto" w:sz="4" w:space="0"/>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2465"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1398</w:t>
            </w:r>
          </w:p>
        </w:tc>
        <w:tc>
          <w:tcPr>
            <w:tcW w:w="2467" w:type="dxa"/>
            <w:tcBorders>
              <w:top w:val="single" w:color="auto" w:sz="4" w:space="0"/>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13032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902"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sz w:val="21"/>
                <w:szCs w:val="21"/>
                <w:highlight w:val="none"/>
              </w:rPr>
            </w:pPr>
            <w:r>
              <w:rPr>
                <w:rFonts w:hint="eastAsia" w:ascii="Times New Roman" w:hAnsi="Times New Roman" w:eastAsia="宋体" w:cs="宋体"/>
                <w:b w:val="0"/>
                <w:bCs/>
                <w:color w:val="0C0C0C"/>
                <w:kern w:val="0"/>
                <w:sz w:val="21"/>
                <w:szCs w:val="21"/>
                <w:highlight w:val="none"/>
                <w:lang w:val="en-US" w:eastAsia="zh-CN" w:bidi="ar"/>
              </w:rPr>
              <w:t>内资企业</w:t>
            </w:r>
          </w:p>
        </w:tc>
        <w:tc>
          <w:tcPr>
            <w:tcW w:w="2465"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val="0"/>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1368</w:t>
            </w:r>
          </w:p>
        </w:tc>
        <w:tc>
          <w:tcPr>
            <w:tcW w:w="246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宋体"/>
                <w:b w:val="0"/>
                <w:bCs w:val="0"/>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12599</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PrEx>
        <w:trPr>
          <w:trHeight w:val="340" w:hRule="exact"/>
          <w:jc w:val="center"/>
        </w:trPr>
        <w:tc>
          <w:tcPr>
            <w:tcW w:w="3902"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sz w:val="21"/>
                <w:szCs w:val="21"/>
                <w:highlight w:val="none"/>
              </w:rPr>
            </w:pPr>
            <w:r>
              <w:rPr>
                <w:rFonts w:hint="eastAsia" w:ascii="Times New Roman" w:hAnsi="Times New Roman" w:eastAsia="宋体" w:cs="宋体"/>
                <w:b w:val="0"/>
                <w:bCs/>
                <w:color w:val="0C0C0C"/>
                <w:kern w:val="0"/>
                <w:sz w:val="21"/>
                <w:szCs w:val="21"/>
                <w:highlight w:val="none"/>
                <w:lang w:val="en-US" w:eastAsia="zh-CN" w:bidi="ar"/>
              </w:rPr>
              <w:t>港澳台投资企业</w:t>
            </w:r>
          </w:p>
        </w:tc>
        <w:tc>
          <w:tcPr>
            <w:tcW w:w="2465"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val="0"/>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24</w:t>
            </w:r>
          </w:p>
        </w:tc>
        <w:tc>
          <w:tcPr>
            <w:tcW w:w="246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val="0"/>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385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902"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sz w:val="21"/>
                <w:szCs w:val="21"/>
                <w:highlight w:val="none"/>
              </w:rPr>
            </w:pPr>
            <w:r>
              <w:rPr>
                <w:rFonts w:hint="eastAsia" w:ascii="Times New Roman" w:hAnsi="Times New Roman" w:eastAsia="宋体" w:cs="宋体"/>
                <w:b w:val="0"/>
                <w:bCs/>
                <w:color w:val="0C0C0C"/>
                <w:kern w:val="0"/>
                <w:sz w:val="21"/>
                <w:szCs w:val="21"/>
                <w:highlight w:val="none"/>
                <w:lang w:val="en-US" w:eastAsia="zh-CN" w:bidi="ar"/>
              </w:rPr>
              <w:t>外商投资企业</w:t>
            </w:r>
          </w:p>
        </w:tc>
        <w:tc>
          <w:tcPr>
            <w:tcW w:w="2465"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val="0"/>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6</w:t>
            </w:r>
          </w:p>
        </w:tc>
        <w:tc>
          <w:tcPr>
            <w:tcW w:w="246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val="0"/>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48</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902" w:type="dxa"/>
            <w:tcBorders>
              <w:top w:val="nil"/>
              <w:left w:val="nil"/>
              <w:bottom w:val="single" w:color="auto" w:sz="12"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kern w:val="0"/>
                <w:sz w:val="21"/>
                <w:szCs w:val="21"/>
                <w:highlight w:val="none"/>
                <w:lang w:val="en-US" w:eastAsia="zh-CN" w:bidi="ar"/>
              </w:rPr>
            </w:pPr>
            <w:r>
              <w:rPr>
                <w:rFonts w:hint="eastAsia" w:ascii="Times New Roman" w:hAnsi="Times New Roman" w:eastAsia="宋体" w:cs="宋体"/>
                <w:b w:val="0"/>
                <w:bCs/>
                <w:color w:val="0C0C0C"/>
                <w:kern w:val="0"/>
                <w:sz w:val="21"/>
                <w:szCs w:val="21"/>
                <w:highlight w:val="none"/>
                <w:lang w:val="en-US" w:eastAsia="zh-CN" w:bidi="ar"/>
              </w:rPr>
              <w:t>其他统计类别</w:t>
            </w:r>
          </w:p>
        </w:tc>
        <w:tc>
          <w:tcPr>
            <w:tcW w:w="2465"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宋体"/>
                <w:b w:val="0"/>
                <w:bCs w:val="0"/>
                <w:i w:val="0"/>
                <w:color w:val="0C0C0C"/>
                <w:kern w:val="0"/>
                <w:sz w:val="21"/>
                <w:szCs w:val="21"/>
                <w:highlight w:val="none"/>
                <w:u w:val="none"/>
                <w:lang w:val="en-US" w:eastAsia="zh-CN" w:bidi="ar"/>
              </w:rPr>
            </w:pPr>
            <w:r>
              <w:rPr>
                <w:rFonts w:hint="default" w:ascii="Times New Roman" w:hAnsi="Times New Roman" w:eastAsia="宋体" w:cs="Times New Roman"/>
                <w:b w:val="0"/>
                <w:bCs w:val="0"/>
                <w:color w:val="0C0C0C"/>
                <w:kern w:val="2"/>
                <w:sz w:val="21"/>
                <w:szCs w:val="21"/>
                <w:highlight w:val="none"/>
                <w:lang w:val="en-US" w:eastAsia="zh-CN" w:bidi="ar-SA"/>
              </w:rPr>
              <w:t>—</w:t>
            </w:r>
          </w:p>
        </w:tc>
        <w:tc>
          <w:tcPr>
            <w:tcW w:w="2467" w:type="dxa"/>
            <w:tcBorders>
              <w:top w:val="nil"/>
              <w:left w:val="single" w:color="auto" w:sz="4" w:space="0"/>
              <w:bottom w:val="single" w:color="auto" w:sz="12" w:space="0"/>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val="0"/>
                <w:i w:val="0"/>
                <w:color w:val="0C0C0C"/>
                <w:kern w:val="0"/>
                <w:sz w:val="21"/>
                <w:szCs w:val="21"/>
                <w:highlight w:val="none"/>
                <w:u w:val="none"/>
                <w:lang w:val="en" w:eastAsia="zh-CN" w:bidi="ar"/>
              </w:rPr>
            </w:pPr>
            <w:r>
              <w:rPr>
                <w:rFonts w:hint="default" w:ascii="Times New Roman" w:hAnsi="Times New Roman" w:eastAsia="宋体" w:cs="Times New Roman"/>
                <w:b w:val="0"/>
                <w:bCs w:val="0"/>
                <w:color w:val="0C0C0C"/>
                <w:kern w:val="2"/>
                <w:sz w:val="21"/>
                <w:szCs w:val="21"/>
                <w:highlight w:val="none"/>
                <w:lang w:val="en-US" w:eastAsia="zh-CN" w:bidi="ar-SA"/>
              </w:rPr>
              <w:t>—</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楷体_GB2312" w:hAnsi="楷体_GB2312" w:eastAsia="楷体_GB2312" w:cs="楷体_GB2312"/>
          <w:i w:val="0"/>
          <w:caps w:val="0"/>
          <w:color w:val="0C0C0C"/>
          <w:spacing w:val="0"/>
          <w:kern w:val="0"/>
          <w:sz w:val="32"/>
          <w:szCs w:val="32"/>
          <w:highlight w:val="none"/>
          <w:lang w:bidi="ar"/>
        </w:rPr>
      </w:pPr>
      <w:r>
        <w:rPr>
          <w:rFonts w:hint="eastAsia" w:ascii="楷体_GB2312" w:hAnsi="楷体_GB2312" w:eastAsia="楷体_GB2312" w:cs="楷体_GB2312"/>
          <w:i w:val="0"/>
          <w:caps w:val="0"/>
          <w:color w:val="0C0C0C"/>
          <w:spacing w:val="0"/>
          <w:kern w:val="0"/>
          <w:sz w:val="32"/>
          <w:szCs w:val="32"/>
          <w:highlight w:val="none"/>
          <w:lang w:val="en-US" w:eastAsia="zh-CN" w:bidi="ar"/>
        </w:rPr>
        <w:t>（二）主要经济指标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2023年末，交通运输、仓储和邮政业企业法人单位资产总计327.91亿元，比2018年末增长</w:t>
      </w:r>
      <w:r>
        <w:rPr>
          <w:rFonts w:hint="eastAsia" w:ascii="Times New Roman" w:hAnsi="Times New Roman" w:eastAsia="仿宋_GB2312" w:cs="仿宋_GB2312"/>
          <w:color w:val="0C0C0C"/>
          <w:sz w:val="32"/>
          <w:szCs w:val="32"/>
          <w:u w:val="none"/>
          <w:lang w:val="en-US" w:eastAsia="zh-CN"/>
        </w:rPr>
        <w:t>67.9</w:t>
      </w:r>
      <w:r>
        <w:rPr>
          <w:rFonts w:hint="eastAsia" w:ascii="Times New Roman" w:hAnsi="Times New Roman" w:eastAsia="仿宋_GB2312" w:cs="仿宋_GB2312"/>
          <w:color w:val="0C0C0C"/>
          <w:spacing w:val="-6"/>
          <w:kern w:val="2"/>
          <w:sz w:val="32"/>
          <w:szCs w:val="32"/>
          <w:u w:val="none"/>
          <w:lang w:val="en-US" w:eastAsia="zh-CN" w:bidi="ar-SA"/>
        </w:rPr>
        <w:t>%；负债合计</w:t>
      </w:r>
      <w:r>
        <w:rPr>
          <w:rFonts w:hint="eastAsia" w:ascii="Times New Roman" w:hAnsi="Times New Roman" w:eastAsia="仿宋_GB2312" w:cs="仿宋_GB2312"/>
          <w:color w:val="0C0C0C"/>
          <w:sz w:val="32"/>
          <w:szCs w:val="32"/>
          <w:u w:val="none"/>
          <w:lang w:val="en-US" w:eastAsia="zh-CN"/>
        </w:rPr>
        <w:t>200.33</w:t>
      </w:r>
      <w:r>
        <w:rPr>
          <w:rFonts w:hint="eastAsia" w:ascii="Times New Roman" w:hAnsi="Times New Roman" w:eastAsia="仿宋_GB2312" w:cs="仿宋_GB2312"/>
          <w:color w:val="0C0C0C"/>
          <w:spacing w:val="-6"/>
          <w:kern w:val="2"/>
          <w:sz w:val="32"/>
          <w:szCs w:val="32"/>
          <w:u w:val="none"/>
          <w:lang w:val="en-US" w:eastAsia="zh-CN" w:bidi="ar-SA"/>
        </w:rPr>
        <w:t>亿元，比2018年末增长</w:t>
      </w:r>
      <w:r>
        <w:rPr>
          <w:rFonts w:hint="eastAsia" w:ascii="Times New Roman" w:hAnsi="Times New Roman" w:eastAsia="仿宋_GB2312" w:cs="仿宋_GB2312"/>
          <w:color w:val="0C0C0C"/>
          <w:sz w:val="32"/>
          <w:szCs w:val="32"/>
          <w:u w:val="none"/>
          <w:lang w:val="en-US" w:eastAsia="zh-CN"/>
        </w:rPr>
        <w:t>50.0</w:t>
      </w:r>
      <w:r>
        <w:rPr>
          <w:rFonts w:hint="eastAsia" w:ascii="Times New Roman" w:hAnsi="Times New Roman" w:eastAsia="仿宋_GB2312" w:cs="仿宋_GB2312"/>
          <w:color w:val="0C0C0C"/>
          <w:spacing w:val="-6"/>
          <w:kern w:val="2"/>
          <w:sz w:val="32"/>
          <w:szCs w:val="32"/>
          <w:u w:val="none"/>
          <w:lang w:val="en-US" w:eastAsia="zh-CN" w:bidi="ar-SA"/>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2023年，交通运输、仓储和邮政业企业法人单位全年实现营业收入</w:t>
      </w:r>
      <w:r>
        <w:rPr>
          <w:rFonts w:hint="eastAsia" w:ascii="Times New Roman" w:hAnsi="Times New Roman" w:eastAsia="仿宋_GB2312" w:cs="仿宋_GB2312"/>
          <w:color w:val="0C0C0C"/>
          <w:sz w:val="32"/>
          <w:szCs w:val="32"/>
          <w:u w:val="none"/>
          <w:lang w:val="en-US" w:eastAsia="zh-CN"/>
        </w:rPr>
        <w:t>88.46</w:t>
      </w:r>
      <w:r>
        <w:rPr>
          <w:rFonts w:hint="eastAsia" w:ascii="Times New Roman" w:hAnsi="Times New Roman" w:eastAsia="仿宋_GB2312" w:cs="仿宋_GB2312"/>
          <w:color w:val="0C0C0C"/>
          <w:spacing w:val="-6"/>
          <w:kern w:val="2"/>
          <w:sz w:val="32"/>
          <w:szCs w:val="32"/>
          <w:u w:val="none"/>
          <w:lang w:val="en-US" w:eastAsia="zh-CN" w:bidi="ar-SA"/>
        </w:rPr>
        <w:t>亿元，比2018年增长</w:t>
      </w:r>
      <w:r>
        <w:rPr>
          <w:rFonts w:hint="eastAsia" w:ascii="Times New Roman" w:hAnsi="Times New Roman" w:eastAsia="仿宋_GB2312" w:cs="仿宋_GB2312"/>
          <w:color w:val="0C0C0C"/>
          <w:sz w:val="32"/>
          <w:szCs w:val="32"/>
          <w:u w:val="none"/>
          <w:lang w:val="en-US" w:eastAsia="zh-CN"/>
        </w:rPr>
        <w:t>2.7倍</w:t>
      </w:r>
      <w:r>
        <w:rPr>
          <w:rFonts w:hint="eastAsia" w:ascii="Times New Roman" w:hAnsi="Times New Roman" w:eastAsia="仿宋_GB2312" w:cs="仿宋_GB2312"/>
          <w:color w:val="0C0C0C"/>
          <w:spacing w:val="-6"/>
          <w:kern w:val="2"/>
          <w:sz w:val="32"/>
          <w:szCs w:val="32"/>
          <w:u w:val="none"/>
          <w:lang w:val="en-US" w:eastAsia="zh-CN" w:bidi="ar-SA"/>
        </w:rPr>
        <w:t>（详见表4-6）。</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79" w:beforeLines="3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表4-6　按行业大类分组的交通运输、仓储和邮政业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企业法人单位主要经济指标</w:t>
      </w:r>
    </w:p>
    <w:tbl>
      <w:tblPr>
        <w:tblStyle w:val="11"/>
        <w:tblW w:w="8839" w:type="dxa"/>
        <w:jc w:val="center"/>
        <w:tblInd w:w="0" w:type="dxa"/>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
      <w:tblGrid>
        <w:gridCol w:w="3802"/>
        <w:gridCol w:w="1678"/>
        <w:gridCol w:w="1678"/>
        <w:gridCol w:w="1681"/>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23" w:hRule="atLeast"/>
          <w:jc w:val="center"/>
        </w:trPr>
        <w:tc>
          <w:tcPr>
            <w:tcW w:w="3802" w:type="dxa"/>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57" w:right="57" w:firstLine="0" w:firstLineChars="0"/>
              <w:jc w:val="center"/>
              <w:textAlignment w:val="auto"/>
              <w:rPr>
                <w:rFonts w:hint="eastAsia" w:ascii="Times New Roman" w:hAnsi="Times New Roman" w:eastAsia="宋体" w:cs="宋体"/>
                <w:color w:val="0C0C0C"/>
                <w:sz w:val="21"/>
                <w:szCs w:val="21"/>
                <w:highlight w:val="none"/>
              </w:rPr>
            </w:pPr>
          </w:p>
        </w:tc>
        <w:tc>
          <w:tcPr>
            <w:tcW w:w="1678" w:type="dxa"/>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资产总计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w:t>
            </w:r>
            <w:r>
              <w:rPr>
                <w:rFonts w:hint="eastAsia" w:ascii="Times New Roman" w:hAnsi="Times New Roman" w:cs="宋体"/>
                <w:b/>
                <w:bCs/>
                <w:color w:val="0C0C0C"/>
                <w:kern w:val="0"/>
                <w:sz w:val="21"/>
                <w:szCs w:val="21"/>
                <w:highlight w:val="none"/>
                <w:lang w:val="en-US" w:eastAsia="zh-CN" w:bidi="ar"/>
              </w:rPr>
              <w:t>亿</w:t>
            </w:r>
            <w:r>
              <w:rPr>
                <w:rFonts w:hint="eastAsia" w:ascii="Times New Roman" w:hAnsi="Times New Roman" w:eastAsia="宋体" w:cs="宋体"/>
                <w:b/>
                <w:bCs/>
                <w:color w:val="0C0C0C"/>
                <w:kern w:val="0"/>
                <w:sz w:val="21"/>
                <w:szCs w:val="21"/>
                <w:highlight w:val="none"/>
                <w:lang w:val="en-US" w:eastAsia="zh-CN" w:bidi="ar"/>
              </w:rPr>
              <w:t>元）</w:t>
            </w:r>
          </w:p>
        </w:tc>
        <w:tc>
          <w:tcPr>
            <w:tcW w:w="1678" w:type="dxa"/>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负债合计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w:t>
            </w:r>
            <w:r>
              <w:rPr>
                <w:rFonts w:hint="eastAsia" w:ascii="Times New Roman" w:hAnsi="Times New Roman" w:cs="宋体"/>
                <w:b/>
                <w:bCs/>
                <w:color w:val="0C0C0C"/>
                <w:kern w:val="0"/>
                <w:sz w:val="21"/>
                <w:szCs w:val="21"/>
                <w:highlight w:val="none"/>
                <w:lang w:val="en-US" w:eastAsia="zh-CN" w:bidi="ar"/>
              </w:rPr>
              <w:t>亿</w:t>
            </w:r>
            <w:r>
              <w:rPr>
                <w:rFonts w:hint="eastAsia" w:ascii="Times New Roman" w:hAnsi="Times New Roman" w:eastAsia="宋体" w:cs="宋体"/>
                <w:b/>
                <w:bCs/>
                <w:color w:val="0C0C0C"/>
                <w:kern w:val="0"/>
                <w:sz w:val="21"/>
                <w:szCs w:val="21"/>
                <w:highlight w:val="none"/>
                <w:lang w:val="en-US" w:eastAsia="zh-CN" w:bidi="ar"/>
              </w:rPr>
              <w:t>元）</w:t>
            </w:r>
          </w:p>
        </w:tc>
        <w:tc>
          <w:tcPr>
            <w:tcW w:w="1681" w:type="dxa"/>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营业收入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w:t>
            </w:r>
            <w:r>
              <w:rPr>
                <w:rFonts w:hint="eastAsia" w:ascii="Times New Roman" w:hAnsi="Times New Roman" w:cs="宋体"/>
                <w:b/>
                <w:bCs/>
                <w:color w:val="0C0C0C"/>
                <w:kern w:val="0"/>
                <w:sz w:val="21"/>
                <w:szCs w:val="21"/>
                <w:highlight w:val="none"/>
                <w:lang w:val="en-US" w:eastAsia="zh-CN" w:bidi="ar"/>
              </w:rPr>
              <w:t>亿</w:t>
            </w:r>
            <w:r>
              <w:rPr>
                <w:rFonts w:hint="eastAsia" w:ascii="Times New Roman" w:hAnsi="Times New Roman" w:eastAsia="宋体" w:cs="宋体"/>
                <w:b/>
                <w:bCs/>
                <w:color w:val="0C0C0C"/>
                <w:kern w:val="0"/>
                <w:sz w:val="21"/>
                <w:szCs w:val="21"/>
                <w:highlight w:val="none"/>
                <w:lang w:val="en-US" w:eastAsia="zh-CN" w:bidi="ar"/>
              </w:rPr>
              <w:t>元）</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atLeast"/>
          <w:jc w:val="center"/>
        </w:trPr>
        <w:tc>
          <w:tcPr>
            <w:tcW w:w="3802" w:type="dxa"/>
            <w:tcBorders>
              <w:top w:val="single" w:color="auto" w:sz="8" w:space="0"/>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1678" w:type="dxa"/>
            <w:tcBorders>
              <w:top w:val="single" w:color="auto" w:sz="8" w:space="0"/>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327</w:t>
            </w:r>
            <w:r>
              <w:rPr>
                <w:rFonts w:hint="eastAsia" w:ascii="Times New Roman" w:hAnsi="Times New Roman" w:cs="宋体"/>
                <w:b/>
                <w:bCs/>
                <w:i w:val="0"/>
                <w:iCs w:val="0"/>
                <w:color w:val="000000"/>
                <w:kern w:val="0"/>
                <w:sz w:val="21"/>
                <w:szCs w:val="21"/>
                <w:u w:val="none"/>
                <w:lang w:val="en-US" w:eastAsia="zh-CN" w:bidi="ar"/>
              </w:rPr>
              <w:t>.</w:t>
            </w:r>
            <w:r>
              <w:rPr>
                <w:rFonts w:hint="eastAsia" w:ascii="Times New Roman" w:hAnsi="Times New Roman" w:eastAsia="宋体" w:cs="宋体"/>
                <w:b/>
                <w:bCs/>
                <w:i w:val="0"/>
                <w:iCs w:val="0"/>
                <w:color w:val="000000"/>
                <w:kern w:val="0"/>
                <w:sz w:val="21"/>
                <w:szCs w:val="21"/>
                <w:u w:val="none"/>
                <w:lang w:val="en-US" w:eastAsia="zh-CN" w:bidi="ar"/>
              </w:rPr>
              <w:t xml:space="preserve">91 </w:t>
            </w:r>
          </w:p>
        </w:tc>
        <w:tc>
          <w:tcPr>
            <w:tcW w:w="1678" w:type="dxa"/>
            <w:tcBorders>
              <w:top w:val="single" w:color="auto" w:sz="8" w:space="0"/>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200</w:t>
            </w:r>
            <w:r>
              <w:rPr>
                <w:rFonts w:hint="eastAsia" w:ascii="Times New Roman" w:hAnsi="Times New Roman" w:cs="宋体"/>
                <w:b/>
                <w:bCs/>
                <w:i w:val="0"/>
                <w:iCs w:val="0"/>
                <w:color w:val="000000"/>
                <w:kern w:val="0"/>
                <w:sz w:val="21"/>
                <w:szCs w:val="21"/>
                <w:u w:val="none"/>
                <w:lang w:val="en-US" w:eastAsia="zh-CN" w:bidi="ar"/>
              </w:rPr>
              <w:t>.</w:t>
            </w:r>
            <w:r>
              <w:rPr>
                <w:rFonts w:hint="eastAsia" w:ascii="Times New Roman" w:hAnsi="Times New Roman" w:eastAsia="宋体" w:cs="宋体"/>
                <w:b/>
                <w:bCs/>
                <w:i w:val="0"/>
                <w:iCs w:val="0"/>
                <w:color w:val="000000"/>
                <w:kern w:val="0"/>
                <w:sz w:val="21"/>
                <w:szCs w:val="21"/>
                <w:u w:val="none"/>
                <w:lang w:val="en-US" w:eastAsia="zh-CN" w:bidi="ar"/>
              </w:rPr>
              <w:t>3</w:t>
            </w:r>
            <w:r>
              <w:rPr>
                <w:rFonts w:hint="eastAsia" w:ascii="Times New Roman" w:hAnsi="Times New Roman" w:cs="宋体"/>
                <w:b/>
                <w:bCs/>
                <w:i w:val="0"/>
                <w:iCs w:val="0"/>
                <w:color w:val="000000"/>
                <w:kern w:val="0"/>
                <w:sz w:val="21"/>
                <w:szCs w:val="21"/>
                <w:u w:val="none"/>
                <w:lang w:val="en-US" w:eastAsia="zh-CN" w:bidi="ar"/>
              </w:rPr>
              <w:t>3</w:t>
            </w:r>
            <w:r>
              <w:rPr>
                <w:rFonts w:hint="eastAsia" w:ascii="Times New Roman" w:hAnsi="Times New Roman" w:eastAsia="宋体" w:cs="宋体"/>
                <w:b/>
                <w:bCs/>
                <w:i w:val="0"/>
                <w:iCs w:val="0"/>
                <w:color w:val="000000"/>
                <w:kern w:val="0"/>
                <w:sz w:val="21"/>
                <w:szCs w:val="21"/>
                <w:u w:val="none"/>
                <w:lang w:val="en-US" w:eastAsia="zh-CN" w:bidi="ar"/>
              </w:rPr>
              <w:t xml:space="preserve"> </w:t>
            </w:r>
          </w:p>
        </w:tc>
        <w:tc>
          <w:tcPr>
            <w:tcW w:w="1681" w:type="dxa"/>
            <w:tcBorders>
              <w:top w:val="single" w:color="auto" w:sz="8" w:space="0"/>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88</w:t>
            </w:r>
            <w:r>
              <w:rPr>
                <w:rFonts w:hint="eastAsia" w:ascii="Times New Roman" w:hAnsi="Times New Roman" w:cs="宋体"/>
                <w:b/>
                <w:bCs/>
                <w:i w:val="0"/>
                <w:iCs w:val="0"/>
                <w:color w:val="000000"/>
                <w:kern w:val="0"/>
                <w:sz w:val="21"/>
                <w:szCs w:val="21"/>
                <w:u w:val="none"/>
                <w:lang w:val="en-US" w:eastAsia="zh-CN" w:bidi="ar"/>
              </w:rPr>
              <w:t>.</w:t>
            </w:r>
            <w:r>
              <w:rPr>
                <w:rFonts w:hint="eastAsia" w:ascii="Times New Roman" w:hAnsi="Times New Roman" w:eastAsia="宋体" w:cs="宋体"/>
                <w:b/>
                <w:bCs/>
                <w:i w:val="0"/>
                <w:iCs w:val="0"/>
                <w:color w:val="000000"/>
                <w:kern w:val="0"/>
                <w:sz w:val="21"/>
                <w:szCs w:val="21"/>
                <w:u w:val="none"/>
                <w:lang w:val="en-US" w:eastAsia="zh-CN" w:bidi="ar"/>
              </w:rPr>
              <w:t xml:space="preserve">46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atLeast"/>
          <w:jc w:val="center"/>
        </w:trPr>
        <w:tc>
          <w:tcPr>
            <w:tcW w:w="380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道路运输业</w:t>
            </w:r>
          </w:p>
        </w:tc>
        <w:tc>
          <w:tcPr>
            <w:tcW w:w="1678"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186</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8</w:t>
            </w:r>
            <w:r>
              <w:rPr>
                <w:rFonts w:hint="eastAsia" w:ascii="Times New Roman" w:hAnsi="Times New Roman" w:cs="宋体"/>
                <w:i w:val="0"/>
                <w:iCs w:val="0"/>
                <w:color w:val="000000"/>
                <w:kern w:val="0"/>
                <w:sz w:val="21"/>
                <w:szCs w:val="21"/>
                <w:u w:val="none"/>
                <w:lang w:val="en-US" w:eastAsia="zh-CN" w:bidi="ar"/>
              </w:rPr>
              <w:t>1</w:t>
            </w:r>
            <w:r>
              <w:rPr>
                <w:rFonts w:hint="eastAsia" w:ascii="Times New Roman" w:hAnsi="Times New Roman" w:eastAsia="宋体" w:cs="宋体"/>
                <w:i w:val="0"/>
                <w:iCs w:val="0"/>
                <w:color w:val="000000"/>
                <w:kern w:val="0"/>
                <w:sz w:val="21"/>
                <w:szCs w:val="21"/>
                <w:u w:val="none"/>
                <w:lang w:val="en-US" w:eastAsia="zh-CN" w:bidi="ar"/>
              </w:rPr>
              <w:t xml:space="preserve"> </w:t>
            </w:r>
          </w:p>
        </w:tc>
        <w:tc>
          <w:tcPr>
            <w:tcW w:w="1678"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127</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74</w:t>
            </w:r>
          </w:p>
        </w:tc>
        <w:tc>
          <w:tcPr>
            <w:tcW w:w="1681"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47</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 xml:space="preserve">37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atLeast"/>
          <w:jc w:val="center"/>
        </w:trPr>
        <w:tc>
          <w:tcPr>
            <w:tcW w:w="380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水上运输业</w:t>
            </w:r>
          </w:p>
        </w:tc>
        <w:tc>
          <w:tcPr>
            <w:tcW w:w="1678"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w:t>
            </w:r>
            <w:r>
              <w:rPr>
                <w:rFonts w:hint="eastAsia" w:ascii="Times New Roman" w:hAnsi="Times New Roman" w:cs="宋体"/>
                <w:i w:val="0"/>
                <w:iCs w:val="0"/>
                <w:color w:val="000000"/>
                <w:kern w:val="0"/>
                <w:sz w:val="21"/>
                <w:szCs w:val="21"/>
                <w:u w:val="none"/>
                <w:lang w:val="en-US" w:eastAsia="zh-CN" w:bidi="ar"/>
              </w:rPr>
              <w:t>.90</w:t>
            </w:r>
            <w:r>
              <w:rPr>
                <w:rFonts w:hint="eastAsia" w:ascii="Times New Roman" w:hAnsi="Times New Roman" w:eastAsia="宋体" w:cs="宋体"/>
                <w:i w:val="0"/>
                <w:iCs w:val="0"/>
                <w:color w:val="000000"/>
                <w:kern w:val="0"/>
                <w:sz w:val="21"/>
                <w:szCs w:val="21"/>
                <w:u w:val="none"/>
                <w:lang w:val="en-US" w:eastAsia="zh-CN" w:bidi="ar"/>
              </w:rPr>
              <w:t xml:space="preserve"> </w:t>
            </w:r>
          </w:p>
        </w:tc>
        <w:tc>
          <w:tcPr>
            <w:tcW w:w="1678"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 xml:space="preserve">04 </w:t>
            </w:r>
          </w:p>
        </w:tc>
        <w:tc>
          <w:tcPr>
            <w:tcW w:w="1681"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6</w:t>
            </w:r>
            <w:r>
              <w:rPr>
                <w:rFonts w:hint="eastAsia" w:ascii="Times New Roman" w:hAnsi="Times New Roman" w:cs="宋体"/>
                <w:i w:val="0"/>
                <w:iCs w:val="0"/>
                <w:color w:val="000000"/>
                <w:kern w:val="0"/>
                <w:sz w:val="21"/>
                <w:szCs w:val="21"/>
                <w:u w:val="none"/>
                <w:lang w:val="en-US" w:eastAsia="zh-CN" w:bidi="ar"/>
              </w:rPr>
              <w:t>7</w:t>
            </w:r>
            <w:r>
              <w:rPr>
                <w:rFonts w:hint="eastAsia" w:ascii="Times New Roman" w:hAnsi="Times New Roman" w:eastAsia="宋体" w:cs="宋体"/>
                <w:i w:val="0"/>
                <w:iCs w:val="0"/>
                <w:color w:val="000000"/>
                <w:kern w:val="0"/>
                <w:sz w:val="21"/>
                <w:szCs w:val="21"/>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atLeast"/>
          <w:jc w:val="center"/>
        </w:trPr>
        <w:tc>
          <w:tcPr>
            <w:tcW w:w="380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航空运输业</w:t>
            </w:r>
          </w:p>
        </w:tc>
        <w:tc>
          <w:tcPr>
            <w:tcW w:w="1678"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cs="宋体"/>
                <w:i w:val="0"/>
                <w:iCs w:val="0"/>
                <w:color w:val="000000"/>
                <w:kern w:val="0"/>
                <w:sz w:val="21"/>
                <w:szCs w:val="21"/>
                <w:u w:val="none"/>
                <w:lang w:val="en-US" w:eastAsia="zh-CN" w:bidi="ar"/>
              </w:rPr>
              <w:t>0.0</w:t>
            </w:r>
            <w:r>
              <w:rPr>
                <w:rFonts w:hint="eastAsia" w:ascii="Times New Roman" w:hAnsi="Times New Roman" w:eastAsia="宋体" w:cs="宋体"/>
                <w:i w:val="0"/>
                <w:iCs w:val="0"/>
                <w:color w:val="000000"/>
                <w:kern w:val="0"/>
                <w:sz w:val="21"/>
                <w:szCs w:val="21"/>
                <w:u w:val="none"/>
                <w:lang w:val="en-US" w:eastAsia="zh-CN" w:bidi="ar"/>
              </w:rPr>
              <w:t xml:space="preserve">2 </w:t>
            </w:r>
          </w:p>
        </w:tc>
        <w:tc>
          <w:tcPr>
            <w:tcW w:w="1678"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 xml:space="preserve"> </w:t>
            </w:r>
          </w:p>
        </w:tc>
        <w:tc>
          <w:tcPr>
            <w:tcW w:w="1681"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atLeast"/>
          <w:jc w:val="center"/>
        </w:trPr>
        <w:tc>
          <w:tcPr>
            <w:tcW w:w="380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管道运输业</w:t>
            </w:r>
          </w:p>
        </w:tc>
        <w:tc>
          <w:tcPr>
            <w:tcW w:w="1678"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default" w:ascii="Times New Roman" w:hAnsi="Times New Roman" w:eastAsia="宋体" w:cs="Times New Roman"/>
                <w:b w:val="0"/>
                <w:bCs w:val="0"/>
                <w:color w:val="0C0C0C"/>
                <w:kern w:val="2"/>
                <w:sz w:val="21"/>
                <w:szCs w:val="21"/>
                <w:highlight w:val="none"/>
                <w:lang w:val="en-US" w:eastAsia="zh-CN" w:bidi="ar-SA"/>
              </w:rPr>
              <w:t>—</w:t>
            </w:r>
          </w:p>
        </w:tc>
        <w:tc>
          <w:tcPr>
            <w:tcW w:w="1678"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default" w:ascii="Times New Roman" w:hAnsi="Times New Roman" w:eastAsia="宋体" w:cs="Times New Roman"/>
                <w:b w:val="0"/>
                <w:bCs w:val="0"/>
                <w:color w:val="0C0C0C"/>
                <w:kern w:val="2"/>
                <w:sz w:val="21"/>
                <w:szCs w:val="21"/>
                <w:highlight w:val="none"/>
                <w:lang w:val="en-US" w:eastAsia="zh-CN" w:bidi="ar-SA"/>
              </w:rPr>
              <w:t>—</w:t>
            </w:r>
          </w:p>
        </w:tc>
        <w:tc>
          <w:tcPr>
            <w:tcW w:w="1681"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default" w:ascii="Times New Roman" w:hAnsi="Times New Roman" w:eastAsia="宋体" w:cs="Times New Roman"/>
                <w:b w:val="0"/>
                <w:bCs w:val="0"/>
                <w:color w:val="0C0C0C"/>
                <w:kern w:val="2"/>
                <w:sz w:val="21"/>
                <w:szCs w:val="21"/>
                <w:highlight w:val="none"/>
                <w:lang w:val="en-US" w:eastAsia="zh-CN" w:bidi="ar-SA"/>
              </w:rPr>
              <w:t>—</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atLeast"/>
          <w:jc w:val="center"/>
        </w:trPr>
        <w:tc>
          <w:tcPr>
            <w:tcW w:w="380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多式联运和运输代理业</w:t>
            </w:r>
          </w:p>
        </w:tc>
        <w:tc>
          <w:tcPr>
            <w:tcW w:w="1678"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75</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 xml:space="preserve">53 </w:t>
            </w:r>
          </w:p>
        </w:tc>
        <w:tc>
          <w:tcPr>
            <w:tcW w:w="1678"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18</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 xml:space="preserve">76 </w:t>
            </w:r>
          </w:p>
        </w:tc>
        <w:tc>
          <w:tcPr>
            <w:tcW w:w="1681"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18</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 xml:space="preserve">25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atLeast"/>
          <w:jc w:val="center"/>
        </w:trPr>
        <w:tc>
          <w:tcPr>
            <w:tcW w:w="380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装卸搬运和仓储业</w:t>
            </w:r>
          </w:p>
        </w:tc>
        <w:tc>
          <w:tcPr>
            <w:tcW w:w="1678"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61</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5</w:t>
            </w:r>
            <w:r>
              <w:rPr>
                <w:rFonts w:hint="eastAsia" w:ascii="Times New Roman" w:hAnsi="Times New Roman" w:cs="宋体"/>
                <w:i w:val="0"/>
                <w:iCs w:val="0"/>
                <w:color w:val="000000"/>
                <w:kern w:val="0"/>
                <w:sz w:val="21"/>
                <w:szCs w:val="21"/>
                <w:u w:val="none"/>
                <w:lang w:val="en-US" w:eastAsia="zh-CN" w:bidi="ar"/>
              </w:rPr>
              <w:t>5</w:t>
            </w:r>
            <w:r>
              <w:rPr>
                <w:rFonts w:hint="eastAsia" w:ascii="Times New Roman" w:hAnsi="Times New Roman" w:eastAsia="宋体" w:cs="宋体"/>
                <w:i w:val="0"/>
                <w:iCs w:val="0"/>
                <w:color w:val="000000"/>
                <w:kern w:val="0"/>
                <w:sz w:val="21"/>
                <w:szCs w:val="21"/>
                <w:u w:val="none"/>
                <w:lang w:val="en-US" w:eastAsia="zh-CN" w:bidi="ar"/>
              </w:rPr>
              <w:t xml:space="preserve"> </w:t>
            </w:r>
          </w:p>
        </w:tc>
        <w:tc>
          <w:tcPr>
            <w:tcW w:w="1678"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50</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89</w:t>
            </w:r>
          </w:p>
        </w:tc>
        <w:tc>
          <w:tcPr>
            <w:tcW w:w="1681"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15</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 xml:space="preserve">77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atLeast"/>
          <w:jc w:val="center"/>
        </w:trPr>
        <w:tc>
          <w:tcPr>
            <w:tcW w:w="3802" w:type="dxa"/>
            <w:tcBorders>
              <w:bottom w:val="single" w:color="auto" w:sz="12"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邮政业</w:t>
            </w:r>
          </w:p>
        </w:tc>
        <w:tc>
          <w:tcPr>
            <w:tcW w:w="1678" w:type="dxa"/>
            <w:tcBorders>
              <w:bottom w:val="single" w:color="auto" w:sz="12"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2</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 xml:space="preserve">10 </w:t>
            </w:r>
          </w:p>
        </w:tc>
        <w:tc>
          <w:tcPr>
            <w:tcW w:w="1678" w:type="dxa"/>
            <w:tcBorders>
              <w:bottom w:val="single" w:color="auto" w:sz="12"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8</w:t>
            </w:r>
            <w:r>
              <w:rPr>
                <w:rFonts w:hint="eastAsia" w:ascii="Times New Roman" w:hAnsi="Times New Roman" w:cs="宋体"/>
                <w:i w:val="0"/>
                <w:iCs w:val="0"/>
                <w:color w:val="000000"/>
                <w:kern w:val="0"/>
                <w:sz w:val="21"/>
                <w:szCs w:val="21"/>
                <w:u w:val="none"/>
                <w:lang w:val="en-US" w:eastAsia="zh-CN" w:bidi="ar"/>
              </w:rPr>
              <w:t>8</w:t>
            </w:r>
            <w:r>
              <w:rPr>
                <w:rFonts w:hint="eastAsia" w:ascii="Times New Roman" w:hAnsi="Times New Roman" w:eastAsia="宋体" w:cs="宋体"/>
                <w:i w:val="0"/>
                <w:iCs w:val="0"/>
                <w:color w:val="000000"/>
                <w:kern w:val="0"/>
                <w:sz w:val="21"/>
                <w:szCs w:val="21"/>
                <w:u w:val="none"/>
                <w:lang w:val="en-US" w:eastAsia="zh-CN" w:bidi="ar"/>
              </w:rPr>
              <w:t xml:space="preserve"> </w:t>
            </w:r>
          </w:p>
        </w:tc>
        <w:tc>
          <w:tcPr>
            <w:tcW w:w="1681" w:type="dxa"/>
            <w:tcBorders>
              <w:bottom w:val="single" w:color="auto" w:sz="12"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5</w:t>
            </w:r>
            <w:r>
              <w:rPr>
                <w:rFonts w:hint="eastAsia" w:ascii="Times New Roman" w:hAnsi="Times New Roman" w:cs="宋体"/>
                <w:i w:val="0"/>
                <w:iCs w:val="0"/>
                <w:color w:val="000000"/>
                <w:kern w:val="0"/>
                <w:sz w:val="21"/>
                <w:szCs w:val="21"/>
                <w:u w:val="none"/>
                <w:lang w:val="en-US" w:eastAsia="zh-CN" w:bidi="ar"/>
              </w:rPr>
              <w:t>.40</w:t>
            </w:r>
            <w:r>
              <w:rPr>
                <w:rFonts w:hint="eastAsia" w:ascii="Times New Roman" w:hAnsi="Times New Roman" w:eastAsia="宋体" w:cs="宋体"/>
                <w:i w:val="0"/>
                <w:iCs w:val="0"/>
                <w:color w:val="000000"/>
                <w:kern w:val="0"/>
                <w:sz w:val="21"/>
                <w:szCs w:val="21"/>
                <w:u w:val="none"/>
                <w:lang w:val="en-US" w:eastAsia="zh-CN" w:bidi="ar"/>
              </w:rPr>
              <w:t xml:space="preserve"> </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黑体" w:hAnsi="黑体" w:eastAsia="黑体" w:cs="黑体"/>
          <w:i w:val="0"/>
          <w:caps w:val="0"/>
          <w:color w:val="0C0C0C"/>
          <w:spacing w:val="0"/>
          <w:sz w:val="32"/>
          <w:szCs w:val="32"/>
          <w:highlight w:val="none"/>
        </w:rPr>
      </w:pPr>
      <w:r>
        <w:rPr>
          <w:rFonts w:hint="eastAsia" w:ascii="黑体" w:hAnsi="黑体" w:eastAsia="黑体" w:cs="黑体"/>
          <w:b w:val="0"/>
          <w:bCs/>
          <w:i w:val="0"/>
          <w:caps w:val="0"/>
          <w:color w:val="0C0C0C"/>
          <w:spacing w:val="0"/>
          <w:kern w:val="0"/>
          <w:sz w:val="32"/>
          <w:szCs w:val="32"/>
          <w:highlight w:val="none"/>
          <w:lang w:val="en-US" w:eastAsia="zh-CN" w:bidi="ar"/>
        </w:rPr>
        <w:t>三、住宿和餐饮业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楷体_GB2312" w:hAnsi="楷体_GB2312" w:eastAsia="楷体_GB2312" w:cs="楷体_GB2312"/>
          <w:i w:val="0"/>
          <w:caps w:val="0"/>
          <w:color w:val="0C0C0C"/>
          <w:spacing w:val="0"/>
          <w:kern w:val="0"/>
          <w:sz w:val="32"/>
          <w:szCs w:val="32"/>
          <w:highlight w:val="none"/>
          <w:lang w:val="en-US" w:eastAsia="zh-CN" w:bidi="ar"/>
        </w:rPr>
      </w:pPr>
      <w:r>
        <w:rPr>
          <w:rFonts w:hint="eastAsia" w:ascii="楷体_GB2312" w:hAnsi="楷体_GB2312" w:eastAsia="楷体_GB2312" w:cs="楷体_GB2312"/>
          <w:i w:val="0"/>
          <w:caps w:val="0"/>
          <w:color w:val="0C0C0C"/>
          <w:spacing w:val="0"/>
          <w:kern w:val="0"/>
          <w:sz w:val="32"/>
          <w:szCs w:val="32"/>
          <w:highlight w:val="none"/>
          <w:lang w:val="en-US" w:eastAsia="zh-CN" w:bidi="ar"/>
        </w:rPr>
        <w:t>（一）企业法人单位数和从业人员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2023年末，全区共有住宿和餐饮业企业法人单位</w:t>
      </w:r>
      <w:r>
        <w:rPr>
          <w:rFonts w:hint="eastAsia" w:ascii="Times New Roman" w:hAnsi="Times New Roman" w:eastAsia="仿宋_GB2312" w:cs="仿宋_GB2312"/>
          <w:color w:val="0C0C0C"/>
          <w:sz w:val="32"/>
          <w:szCs w:val="32"/>
          <w:u w:val="none"/>
          <w:lang w:val="en-US" w:eastAsia="zh-CN"/>
        </w:rPr>
        <w:t>1494</w:t>
      </w:r>
      <w:r>
        <w:rPr>
          <w:rFonts w:hint="eastAsia" w:ascii="Times New Roman" w:hAnsi="Times New Roman" w:eastAsia="仿宋_GB2312" w:cs="仿宋_GB2312"/>
          <w:color w:val="0C0C0C"/>
          <w:spacing w:val="-6"/>
          <w:kern w:val="2"/>
          <w:sz w:val="32"/>
          <w:szCs w:val="32"/>
          <w:u w:val="none"/>
          <w:lang w:val="en-US" w:eastAsia="zh-CN" w:bidi="ar-SA"/>
        </w:rPr>
        <w:t>个，从业人员</w:t>
      </w:r>
      <w:r>
        <w:rPr>
          <w:rFonts w:hint="eastAsia" w:ascii="Times New Roman" w:hAnsi="Times New Roman" w:eastAsia="仿宋_GB2312" w:cs="仿宋_GB2312"/>
          <w:color w:val="0C0C0C"/>
          <w:sz w:val="32"/>
          <w:szCs w:val="32"/>
          <w:u w:val="none"/>
          <w:lang w:val="en-US" w:eastAsia="zh-CN"/>
        </w:rPr>
        <w:t>1.42万</w:t>
      </w:r>
      <w:r>
        <w:rPr>
          <w:rFonts w:hint="eastAsia" w:ascii="Times New Roman" w:hAnsi="Times New Roman" w:eastAsia="仿宋_GB2312" w:cs="仿宋_GB2312"/>
          <w:color w:val="0C0C0C"/>
          <w:spacing w:val="-6"/>
          <w:kern w:val="2"/>
          <w:sz w:val="32"/>
          <w:szCs w:val="32"/>
          <w:u w:val="none"/>
          <w:lang w:val="en-US" w:eastAsia="zh-CN" w:bidi="ar-SA"/>
        </w:rPr>
        <w:t>人，分别比2018年末增长</w:t>
      </w:r>
      <w:r>
        <w:rPr>
          <w:rFonts w:hint="eastAsia" w:ascii="Times New Roman" w:hAnsi="Times New Roman" w:eastAsia="仿宋_GB2312" w:cs="仿宋_GB2312"/>
          <w:color w:val="0C0C0C"/>
          <w:sz w:val="32"/>
          <w:szCs w:val="32"/>
          <w:u w:val="none"/>
          <w:lang w:val="en-US" w:eastAsia="zh-CN"/>
        </w:rPr>
        <w:t>1.1倍</w:t>
      </w:r>
      <w:r>
        <w:rPr>
          <w:rFonts w:hint="eastAsia" w:ascii="Times New Roman" w:hAnsi="Times New Roman" w:eastAsia="仿宋_GB2312" w:cs="仿宋_GB2312"/>
          <w:color w:val="0C0C0C"/>
          <w:spacing w:val="-6"/>
          <w:kern w:val="2"/>
          <w:sz w:val="32"/>
          <w:szCs w:val="32"/>
          <w:u w:val="none"/>
          <w:lang w:val="en-US" w:eastAsia="zh-CN" w:bidi="ar-SA"/>
        </w:rPr>
        <w:t>和</w:t>
      </w:r>
      <w:r>
        <w:rPr>
          <w:rFonts w:hint="eastAsia" w:ascii="Times New Roman" w:hAnsi="Times New Roman" w:eastAsia="仿宋_GB2312" w:cs="仿宋_GB2312"/>
          <w:color w:val="0C0C0C"/>
          <w:sz w:val="32"/>
          <w:szCs w:val="32"/>
          <w:u w:val="none"/>
          <w:lang w:val="en-US" w:eastAsia="zh-CN"/>
        </w:rPr>
        <w:t>71.7</w:t>
      </w:r>
      <w:r>
        <w:rPr>
          <w:rFonts w:hint="eastAsia" w:ascii="Times New Roman" w:hAnsi="Times New Roman" w:eastAsia="仿宋_GB2312" w:cs="仿宋_GB2312"/>
          <w:color w:val="0C0C0C"/>
          <w:spacing w:val="-6"/>
          <w:kern w:val="2"/>
          <w:sz w:val="32"/>
          <w:szCs w:val="32"/>
          <w:u w:val="none"/>
          <w:lang w:val="en-US" w:eastAsia="zh-CN" w:bidi="ar-SA"/>
        </w:rPr>
        <w:t>%。</w:t>
      </w:r>
    </w:p>
    <w:p>
      <w:pPr>
        <w:pStyle w:val="2"/>
        <w:keepNext w:val="0"/>
        <w:keepLines w:val="0"/>
        <w:pageBreakBefore w:val="0"/>
        <w:wordWrap/>
        <w:overflowPunct/>
        <w:topLinePunct w:val="0"/>
        <w:bidi w:val="0"/>
        <w:spacing w:line="560" w:lineRule="exact"/>
        <w:ind w:left="0" w:leftChars="0" w:right="0" w:rightChars="0" w:firstLine="616" w:firstLineChars="200"/>
        <w:jc w:val="both"/>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在住宿和餐饮业企业法人单位中，住宿业占</w:t>
      </w:r>
      <w:r>
        <w:rPr>
          <w:rFonts w:hint="eastAsia" w:ascii="Times New Roman" w:hAnsi="Times New Roman" w:eastAsia="仿宋_GB2312" w:cs="仿宋_GB2312"/>
          <w:color w:val="0C0C0C"/>
          <w:sz w:val="32"/>
          <w:szCs w:val="32"/>
          <w:u w:val="none"/>
          <w:lang w:val="en-US" w:eastAsia="zh-CN"/>
        </w:rPr>
        <w:t>22.3</w:t>
      </w:r>
      <w:r>
        <w:rPr>
          <w:rFonts w:hint="eastAsia" w:ascii="Times New Roman" w:hAnsi="Times New Roman" w:eastAsia="仿宋_GB2312" w:cs="仿宋_GB2312"/>
          <w:color w:val="0C0C0C"/>
          <w:spacing w:val="-6"/>
          <w:kern w:val="2"/>
          <w:sz w:val="32"/>
          <w:szCs w:val="32"/>
          <w:u w:val="none"/>
          <w:lang w:val="en-US" w:eastAsia="zh-CN" w:bidi="ar-SA"/>
        </w:rPr>
        <w:t>%，餐饮业占</w:t>
      </w:r>
      <w:r>
        <w:rPr>
          <w:rFonts w:hint="eastAsia" w:ascii="Times New Roman" w:hAnsi="Times New Roman" w:eastAsia="仿宋_GB2312" w:cs="仿宋_GB2312"/>
          <w:color w:val="0C0C0C"/>
          <w:sz w:val="32"/>
          <w:szCs w:val="32"/>
          <w:u w:val="none"/>
          <w:lang w:val="en-US" w:eastAsia="zh-CN"/>
        </w:rPr>
        <w:t>77.7</w:t>
      </w:r>
      <w:r>
        <w:rPr>
          <w:rFonts w:hint="eastAsia" w:ascii="Times New Roman" w:hAnsi="Times New Roman" w:eastAsia="仿宋_GB2312" w:cs="仿宋_GB2312"/>
          <w:color w:val="0C0C0C"/>
          <w:spacing w:val="-6"/>
          <w:kern w:val="2"/>
          <w:sz w:val="32"/>
          <w:szCs w:val="32"/>
          <w:u w:val="none"/>
          <w:lang w:val="en-US" w:eastAsia="zh-CN" w:bidi="ar-SA"/>
        </w:rPr>
        <w:t>%。在住宿和餐饮业企业法人单位从业人员中，住宿业占</w:t>
      </w:r>
      <w:r>
        <w:rPr>
          <w:rFonts w:hint="eastAsia" w:ascii="Times New Roman" w:hAnsi="Times New Roman" w:eastAsia="仿宋_GB2312" w:cs="仿宋_GB2312"/>
          <w:color w:val="0C0C0C"/>
          <w:sz w:val="32"/>
          <w:szCs w:val="32"/>
          <w:u w:val="none"/>
          <w:lang w:val="en-US" w:eastAsia="zh-CN"/>
        </w:rPr>
        <w:t>36.7</w:t>
      </w:r>
      <w:r>
        <w:rPr>
          <w:rFonts w:hint="eastAsia" w:ascii="Times New Roman" w:hAnsi="Times New Roman" w:eastAsia="仿宋_GB2312" w:cs="仿宋_GB2312"/>
          <w:color w:val="0C0C0C"/>
          <w:spacing w:val="-6"/>
          <w:kern w:val="2"/>
          <w:sz w:val="32"/>
          <w:szCs w:val="32"/>
          <w:u w:val="none"/>
          <w:lang w:val="en-US" w:eastAsia="zh-CN" w:bidi="ar-SA"/>
        </w:rPr>
        <w:t>%，餐饮业占</w:t>
      </w:r>
      <w:r>
        <w:rPr>
          <w:rFonts w:hint="eastAsia" w:ascii="Times New Roman" w:hAnsi="Times New Roman" w:eastAsia="仿宋_GB2312" w:cs="仿宋_GB2312"/>
          <w:color w:val="0C0C0C"/>
          <w:sz w:val="32"/>
          <w:szCs w:val="32"/>
          <w:u w:val="none"/>
          <w:lang w:val="en-US" w:eastAsia="zh-CN"/>
        </w:rPr>
        <w:t>63.3</w:t>
      </w:r>
      <w:r>
        <w:rPr>
          <w:rFonts w:hint="eastAsia" w:ascii="Times New Roman" w:hAnsi="Times New Roman" w:eastAsia="仿宋_GB2312" w:cs="仿宋_GB2312"/>
          <w:color w:val="0C0C0C"/>
          <w:spacing w:val="-6"/>
          <w:kern w:val="2"/>
          <w:sz w:val="32"/>
          <w:szCs w:val="32"/>
          <w:u w:val="none"/>
          <w:lang w:val="en-US" w:eastAsia="zh-CN" w:bidi="ar-SA"/>
        </w:rPr>
        <w:t>%（详见表4-7）。</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表4-7　按行业中类分组的住宿和餐饮业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30"/>
          <w:szCs w:val="30"/>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 xml:space="preserve">     企业法人单位数和从业人员</w:t>
      </w:r>
    </w:p>
    <w:tbl>
      <w:tblPr>
        <w:tblStyle w:val="11"/>
        <w:tblW w:w="8732"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3891"/>
        <w:gridCol w:w="2420"/>
        <w:gridCol w:w="2421"/>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3" w:hRule="atLeast"/>
          <w:jc w:val="center"/>
        </w:trPr>
        <w:tc>
          <w:tcPr>
            <w:tcW w:w="3891" w:type="dxa"/>
            <w:tcBorders>
              <w:top w:val="single" w:color="auto" w:sz="12" w:space="0"/>
              <w:left w:val="nil"/>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right="0" w:firstLine="0" w:firstLineChars="0"/>
              <w:jc w:val="left"/>
              <w:textAlignment w:val="auto"/>
              <w:rPr>
                <w:rFonts w:hint="eastAsia" w:ascii="Times New Roman" w:hAnsi="Times New Roman" w:eastAsia="宋体" w:cs="宋体"/>
                <w:color w:val="0C0C0C"/>
                <w:sz w:val="21"/>
                <w:szCs w:val="21"/>
                <w:highlight w:val="none"/>
              </w:rPr>
            </w:pPr>
          </w:p>
        </w:tc>
        <w:tc>
          <w:tcPr>
            <w:tcW w:w="2420"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企业法人单位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（个）</w:t>
            </w:r>
          </w:p>
        </w:tc>
        <w:tc>
          <w:tcPr>
            <w:tcW w:w="2421" w:type="dxa"/>
            <w:tcBorders>
              <w:top w:val="single" w:color="auto" w:sz="12" w:space="0"/>
              <w:left w:val="single" w:color="auto" w:sz="4" w:space="0"/>
              <w:bottom w:val="single" w:color="auto" w:sz="4"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1" w:type="dxa"/>
            <w:tcBorders>
              <w:top w:val="single" w:color="auto" w:sz="4" w:space="0"/>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2420"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1494</w:t>
            </w:r>
          </w:p>
        </w:tc>
        <w:tc>
          <w:tcPr>
            <w:tcW w:w="2421" w:type="dxa"/>
            <w:tcBorders>
              <w:top w:val="single" w:color="auto" w:sz="4" w:space="0"/>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14151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1"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住宿业</w:t>
            </w:r>
          </w:p>
        </w:tc>
        <w:tc>
          <w:tcPr>
            <w:tcW w:w="2420"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333</w:t>
            </w:r>
          </w:p>
        </w:tc>
        <w:tc>
          <w:tcPr>
            <w:tcW w:w="2421"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5197</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1"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旅游饭店</w:t>
            </w:r>
          </w:p>
        </w:tc>
        <w:tc>
          <w:tcPr>
            <w:tcW w:w="2420"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63</w:t>
            </w:r>
          </w:p>
        </w:tc>
        <w:tc>
          <w:tcPr>
            <w:tcW w:w="2421"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3524</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1"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一般旅馆</w:t>
            </w:r>
          </w:p>
        </w:tc>
        <w:tc>
          <w:tcPr>
            <w:tcW w:w="2420"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178</w:t>
            </w:r>
          </w:p>
        </w:tc>
        <w:tc>
          <w:tcPr>
            <w:tcW w:w="2421"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1249</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1"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民宿服务</w:t>
            </w:r>
          </w:p>
        </w:tc>
        <w:tc>
          <w:tcPr>
            <w:tcW w:w="2420"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65</w:t>
            </w:r>
          </w:p>
        </w:tc>
        <w:tc>
          <w:tcPr>
            <w:tcW w:w="2421"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333</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1"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露营地服务</w:t>
            </w:r>
          </w:p>
        </w:tc>
        <w:tc>
          <w:tcPr>
            <w:tcW w:w="2420"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8</w:t>
            </w:r>
          </w:p>
        </w:tc>
        <w:tc>
          <w:tcPr>
            <w:tcW w:w="2421"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13</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1"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其他住宿业</w:t>
            </w:r>
          </w:p>
        </w:tc>
        <w:tc>
          <w:tcPr>
            <w:tcW w:w="2420"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19</w:t>
            </w:r>
          </w:p>
        </w:tc>
        <w:tc>
          <w:tcPr>
            <w:tcW w:w="2421"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78</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1"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餐饮业</w:t>
            </w:r>
          </w:p>
        </w:tc>
        <w:tc>
          <w:tcPr>
            <w:tcW w:w="2420"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1161</w:t>
            </w:r>
          </w:p>
        </w:tc>
        <w:tc>
          <w:tcPr>
            <w:tcW w:w="2421"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8954</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1"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正餐服务</w:t>
            </w:r>
          </w:p>
        </w:tc>
        <w:tc>
          <w:tcPr>
            <w:tcW w:w="2420"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811</w:t>
            </w:r>
          </w:p>
        </w:tc>
        <w:tc>
          <w:tcPr>
            <w:tcW w:w="2421"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5109</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1"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快餐服务</w:t>
            </w:r>
          </w:p>
        </w:tc>
        <w:tc>
          <w:tcPr>
            <w:tcW w:w="2420"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71</w:t>
            </w:r>
          </w:p>
        </w:tc>
        <w:tc>
          <w:tcPr>
            <w:tcW w:w="2421"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146</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1"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饮料及冷饮服务</w:t>
            </w:r>
          </w:p>
        </w:tc>
        <w:tc>
          <w:tcPr>
            <w:tcW w:w="2420"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94</w:t>
            </w:r>
          </w:p>
        </w:tc>
        <w:tc>
          <w:tcPr>
            <w:tcW w:w="2421"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656</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1"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餐饮配送及外卖送餐服务</w:t>
            </w:r>
          </w:p>
        </w:tc>
        <w:tc>
          <w:tcPr>
            <w:tcW w:w="2420"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45</w:t>
            </w:r>
          </w:p>
        </w:tc>
        <w:tc>
          <w:tcPr>
            <w:tcW w:w="2421"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660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1" w:type="dxa"/>
            <w:tcBorders>
              <w:top w:val="nil"/>
              <w:left w:val="nil"/>
              <w:bottom w:val="single" w:color="auto" w:sz="12"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其他餐饮业</w:t>
            </w:r>
          </w:p>
        </w:tc>
        <w:tc>
          <w:tcPr>
            <w:tcW w:w="2420"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140</w:t>
            </w:r>
          </w:p>
        </w:tc>
        <w:tc>
          <w:tcPr>
            <w:tcW w:w="2421" w:type="dxa"/>
            <w:tcBorders>
              <w:top w:val="nil"/>
              <w:left w:val="single" w:color="auto" w:sz="4" w:space="0"/>
              <w:bottom w:val="single" w:color="auto" w:sz="12" w:space="0"/>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2383</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在住宿和餐饮业企业法人单位中，内资企业占</w:t>
      </w:r>
      <w:r>
        <w:rPr>
          <w:rFonts w:hint="eastAsia" w:ascii="Times New Roman" w:hAnsi="Times New Roman" w:eastAsia="仿宋_GB2312" w:cs="仿宋_GB2312"/>
          <w:color w:val="0C0C0C"/>
          <w:sz w:val="32"/>
          <w:szCs w:val="32"/>
          <w:u w:val="none"/>
          <w:lang w:val="en-US" w:eastAsia="zh-CN"/>
        </w:rPr>
        <w:t>98.9</w:t>
      </w:r>
      <w:r>
        <w:rPr>
          <w:rFonts w:hint="eastAsia" w:ascii="Times New Roman" w:hAnsi="Times New Roman" w:eastAsia="仿宋_GB2312" w:cs="仿宋_GB2312"/>
          <w:color w:val="0C0C0C"/>
          <w:spacing w:val="-6"/>
          <w:kern w:val="2"/>
          <w:sz w:val="32"/>
          <w:szCs w:val="32"/>
          <w:u w:val="none"/>
          <w:lang w:val="en-US" w:eastAsia="zh-CN" w:bidi="ar-SA"/>
        </w:rPr>
        <w:t>%，港澳台投资企业占</w:t>
      </w:r>
      <w:r>
        <w:rPr>
          <w:rFonts w:hint="eastAsia" w:ascii="Times New Roman" w:hAnsi="Times New Roman" w:eastAsia="仿宋_GB2312" w:cs="仿宋_GB2312"/>
          <w:color w:val="0C0C0C"/>
          <w:sz w:val="32"/>
          <w:szCs w:val="32"/>
          <w:u w:val="none"/>
          <w:lang w:val="en-US" w:eastAsia="zh-CN"/>
        </w:rPr>
        <w:t>0.8</w:t>
      </w:r>
      <w:r>
        <w:rPr>
          <w:rFonts w:hint="eastAsia" w:ascii="Times New Roman" w:hAnsi="Times New Roman" w:eastAsia="仿宋_GB2312" w:cs="仿宋_GB2312"/>
          <w:color w:val="0C0C0C"/>
          <w:spacing w:val="-6"/>
          <w:kern w:val="2"/>
          <w:sz w:val="32"/>
          <w:szCs w:val="32"/>
          <w:u w:val="none"/>
          <w:lang w:val="en-US" w:eastAsia="zh-CN" w:bidi="ar-SA"/>
        </w:rPr>
        <w:t>%，外商投资企业占</w:t>
      </w:r>
      <w:r>
        <w:rPr>
          <w:rFonts w:hint="eastAsia" w:ascii="Times New Roman" w:hAnsi="Times New Roman" w:eastAsia="仿宋_GB2312" w:cs="仿宋_GB2312"/>
          <w:color w:val="0C0C0C"/>
          <w:sz w:val="32"/>
          <w:szCs w:val="32"/>
          <w:u w:val="none"/>
          <w:lang w:val="en-US" w:eastAsia="zh-CN"/>
        </w:rPr>
        <w:t>0.3</w:t>
      </w:r>
      <w:r>
        <w:rPr>
          <w:rFonts w:hint="eastAsia" w:ascii="Times New Roman" w:hAnsi="Times New Roman" w:eastAsia="仿宋_GB2312" w:cs="仿宋_GB2312"/>
          <w:color w:val="0C0C0C"/>
          <w:spacing w:val="-6"/>
          <w:kern w:val="2"/>
          <w:sz w:val="32"/>
          <w:szCs w:val="32"/>
          <w:u w:val="none"/>
          <w:lang w:val="en-US" w:eastAsia="zh-CN" w:bidi="ar-SA"/>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在住宿和餐饮业企业法人单位从业人员中，内资企业占</w:t>
      </w:r>
      <w:r>
        <w:rPr>
          <w:rFonts w:hint="eastAsia" w:ascii="Times New Roman" w:hAnsi="Times New Roman" w:eastAsia="仿宋_GB2312" w:cs="仿宋_GB2312"/>
          <w:color w:val="0C0C0C"/>
          <w:sz w:val="32"/>
          <w:szCs w:val="32"/>
          <w:u w:val="none"/>
          <w:lang w:val="en-US" w:eastAsia="zh-CN"/>
        </w:rPr>
        <w:t>92.9</w:t>
      </w:r>
      <w:r>
        <w:rPr>
          <w:rFonts w:hint="eastAsia" w:ascii="Times New Roman" w:hAnsi="Times New Roman" w:eastAsia="仿宋_GB2312" w:cs="仿宋_GB2312"/>
          <w:color w:val="0C0C0C"/>
          <w:spacing w:val="-6"/>
          <w:kern w:val="2"/>
          <w:sz w:val="32"/>
          <w:szCs w:val="32"/>
          <w:u w:val="none"/>
          <w:lang w:val="en-US" w:eastAsia="zh-CN" w:bidi="ar-SA"/>
        </w:rPr>
        <w:t>%，港澳台投资企业占</w:t>
      </w:r>
      <w:r>
        <w:rPr>
          <w:rFonts w:hint="eastAsia" w:ascii="Times New Roman" w:hAnsi="Times New Roman" w:eastAsia="仿宋_GB2312" w:cs="仿宋_GB2312"/>
          <w:color w:val="0C0C0C"/>
          <w:sz w:val="32"/>
          <w:szCs w:val="32"/>
          <w:u w:val="none"/>
          <w:lang w:val="en-US" w:eastAsia="zh-CN"/>
        </w:rPr>
        <w:t>4.0</w:t>
      </w:r>
      <w:r>
        <w:rPr>
          <w:rFonts w:hint="eastAsia" w:ascii="Times New Roman" w:hAnsi="Times New Roman" w:eastAsia="仿宋_GB2312" w:cs="仿宋_GB2312"/>
          <w:color w:val="0C0C0C"/>
          <w:spacing w:val="-6"/>
          <w:kern w:val="2"/>
          <w:sz w:val="32"/>
          <w:szCs w:val="32"/>
          <w:u w:val="none"/>
          <w:lang w:val="en-US" w:eastAsia="zh-CN" w:bidi="ar-SA"/>
        </w:rPr>
        <w:t>%，外商投资企业占</w:t>
      </w:r>
      <w:r>
        <w:rPr>
          <w:rFonts w:hint="eastAsia" w:ascii="Times New Roman" w:hAnsi="Times New Roman" w:eastAsia="仿宋_GB2312" w:cs="仿宋_GB2312"/>
          <w:color w:val="0C0C0C"/>
          <w:sz w:val="32"/>
          <w:szCs w:val="32"/>
          <w:u w:val="none"/>
          <w:lang w:val="en-US" w:eastAsia="zh-CN"/>
        </w:rPr>
        <w:t>3.1</w:t>
      </w:r>
      <w:r>
        <w:rPr>
          <w:rFonts w:hint="eastAsia" w:ascii="Times New Roman" w:hAnsi="Times New Roman" w:eastAsia="仿宋_GB2312" w:cs="仿宋_GB2312"/>
          <w:color w:val="0C0C0C"/>
          <w:spacing w:val="-6"/>
          <w:kern w:val="2"/>
          <w:sz w:val="32"/>
          <w:szCs w:val="32"/>
          <w:u w:val="none"/>
          <w:lang w:val="en-US" w:eastAsia="zh-CN" w:bidi="ar-SA"/>
        </w:rPr>
        <w:t>%（详见表4-8）。</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79" w:beforeLines="3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表4-8　按登记注册统计类别分组的住宿和餐饮业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30"/>
          <w:szCs w:val="30"/>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 xml:space="preserve"> 企业法人单位数和从业人员</w:t>
      </w:r>
    </w:p>
    <w:tbl>
      <w:tblPr>
        <w:tblStyle w:val="11"/>
        <w:tblW w:w="8834"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3890"/>
        <w:gridCol w:w="2471"/>
        <w:gridCol w:w="2473"/>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3" w:hRule="atLeast"/>
          <w:jc w:val="center"/>
        </w:trPr>
        <w:tc>
          <w:tcPr>
            <w:tcW w:w="3890" w:type="dxa"/>
            <w:tcBorders>
              <w:top w:val="single" w:color="auto" w:sz="12" w:space="0"/>
              <w:left w:val="nil"/>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57" w:right="57" w:firstLine="0" w:firstLineChars="0"/>
              <w:jc w:val="center"/>
              <w:textAlignment w:val="auto"/>
              <w:rPr>
                <w:rFonts w:hint="eastAsia" w:ascii="Times New Roman" w:hAnsi="Times New Roman" w:eastAsia="宋体" w:cs="宋体"/>
                <w:color w:val="0C0C0C"/>
                <w:sz w:val="21"/>
                <w:szCs w:val="21"/>
                <w:highlight w:val="none"/>
              </w:rPr>
            </w:pPr>
          </w:p>
        </w:tc>
        <w:tc>
          <w:tcPr>
            <w:tcW w:w="2471"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企业法人单位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（个）</w:t>
            </w:r>
          </w:p>
        </w:tc>
        <w:tc>
          <w:tcPr>
            <w:tcW w:w="2473" w:type="dxa"/>
            <w:tcBorders>
              <w:top w:val="single" w:color="auto" w:sz="12" w:space="0"/>
              <w:left w:val="single" w:color="auto" w:sz="4" w:space="0"/>
              <w:bottom w:val="single" w:color="auto" w:sz="4"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0" w:type="dxa"/>
            <w:tcBorders>
              <w:top w:val="single" w:color="auto" w:sz="4" w:space="0"/>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2471"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1494</w:t>
            </w:r>
          </w:p>
        </w:tc>
        <w:tc>
          <w:tcPr>
            <w:tcW w:w="2473" w:type="dxa"/>
            <w:tcBorders>
              <w:top w:val="single" w:color="auto" w:sz="4" w:space="0"/>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宋体"/>
                <w:b/>
                <w:bCs/>
                <w:color w:val="0C0C0C"/>
                <w:kern w:val="2"/>
                <w:sz w:val="21"/>
                <w:szCs w:val="21"/>
                <w:highlight w:val="none"/>
                <w:lang w:val="en-US" w:eastAsia="zh-CN" w:bidi="ar-SA"/>
              </w:rPr>
            </w:pPr>
            <w:r>
              <w:rPr>
                <w:rFonts w:hint="eastAsia" w:ascii="Times New Roman" w:hAnsi="Times New Roman" w:eastAsia="宋体" w:cs="宋体"/>
                <w:b/>
                <w:bCs/>
                <w:i w:val="0"/>
                <w:iCs w:val="0"/>
                <w:color w:val="000000"/>
                <w:kern w:val="0"/>
                <w:sz w:val="21"/>
                <w:szCs w:val="21"/>
                <w:u w:val="none"/>
                <w:lang w:val="en-US" w:eastAsia="zh-CN" w:bidi="ar"/>
              </w:rPr>
              <w:t>14151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sz w:val="21"/>
                <w:szCs w:val="21"/>
                <w:highlight w:val="none"/>
              </w:rPr>
            </w:pPr>
            <w:r>
              <w:rPr>
                <w:rFonts w:hint="eastAsia" w:ascii="Times New Roman" w:hAnsi="Times New Roman" w:eastAsia="宋体" w:cs="宋体"/>
                <w:b w:val="0"/>
                <w:bCs/>
                <w:color w:val="0C0C0C"/>
                <w:kern w:val="0"/>
                <w:sz w:val="21"/>
                <w:szCs w:val="21"/>
                <w:highlight w:val="none"/>
                <w:lang w:val="en-US" w:eastAsia="zh-CN" w:bidi="ar"/>
              </w:rPr>
              <w:t>内资企业</w:t>
            </w:r>
          </w:p>
        </w:tc>
        <w:tc>
          <w:tcPr>
            <w:tcW w:w="247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1478</w:t>
            </w:r>
          </w:p>
        </w:tc>
        <w:tc>
          <w:tcPr>
            <w:tcW w:w="247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13149</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sz w:val="21"/>
                <w:szCs w:val="21"/>
                <w:highlight w:val="none"/>
              </w:rPr>
            </w:pPr>
            <w:r>
              <w:rPr>
                <w:rFonts w:hint="eastAsia" w:ascii="Times New Roman" w:hAnsi="Times New Roman" w:eastAsia="宋体" w:cs="宋体"/>
                <w:b w:val="0"/>
                <w:bCs/>
                <w:color w:val="0C0C0C"/>
                <w:kern w:val="0"/>
                <w:sz w:val="21"/>
                <w:szCs w:val="21"/>
                <w:highlight w:val="none"/>
                <w:lang w:val="en" w:eastAsia="zh-CN" w:bidi="ar"/>
              </w:rPr>
              <w:t>港澳台</w:t>
            </w:r>
            <w:r>
              <w:rPr>
                <w:rFonts w:hint="eastAsia" w:ascii="Times New Roman" w:hAnsi="Times New Roman" w:eastAsia="宋体" w:cs="宋体"/>
                <w:b w:val="0"/>
                <w:bCs/>
                <w:color w:val="0C0C0C"/>
                <w:kern w:val="0"/>
                <w:sz w:val="21"/>
                <w:szCs w:val="21"/>
                <w:highlight w:val="none"/>
                <w:lang w:val="en-US" w:eastAsia="zh-CN" w:bidi="ar"/>
              </w:rPr>
              <w:t>投资企业</w:t>
            </w:r>
          </w:p>
        </w:tc>
        <w:tc>
          <w:tcPr>
            <w:tcW w:w="247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12</w:t>
            </w:r>
          </w:p>
        </w:tc>
        <w:tc>
          <w:tcPr>
            <w:tcW w:w="247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567</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sz w:val="21"/>
                <w:szCs w:val="21"/>
                <w:highlight w:val="none"/>
              </w:rPr>
            </w:pPr>
            <w:r>
              <w:rPr>
                <w:rFonts w:hint="eastAsia" w:ascii="Times New Roman" w:hAnsi="Times New Roman" w:eastAsia="宋体" w:cs="宋体"/>
                <w:b w:val="0"/>
                <w:bCs/>
                <w:color w:val="0C0C0C"/>
                <w:kern w:val="0"/>
                <w:sz w:val="21"/>
                <w:szCs w:val="21"/>
                <w:highlight w:val="none"/>
                <w:lang w:val="en-US" w:eastAsia="zh-CN" w:bidi="ar"/>
              </w:rPr>
              <w:t>外商投资企业</w:t>
            </w:r>
          </w:p>
        </w:tc>
        <w:tc>
          <w:tcPr>
            <w:tcW w:w="247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4</w:t>
            </w:r>
          </w:p>
        </w:tc>
        <w:tc>
          <w:tcPr>
            <w:tcW w:w="247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435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0" w:type="dxa"/>
            <w:tcBorders>
              <w:top w:val="nil"/>
              <w:left w:val="nil"/>
              <w:bottom w:val="single" w:color="auto" w:sz="12"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kern w:val="0"/>
                <w:sz w:val="21"/>
                <w:szCs w:val="21"/>
                <w:highlight w:val="none"/>
                <w:lang w:val="en-US" w:eastAsia="zh-CN" w:bidi="ar"/>
              </w:rPr>
            </w:pPr>
            <w:r>
              <w:rPr>
                <w:rFonts w:hint="eastAsia" w:ascii="Times New Roman" w:hAnsi="Times New Roman" w:eastAsia="宋体" w:cs="宋体"/>
                <w:b w:val="0"/>
                <w:bCs/>
                <w:color w:val="0C0C0C"/>
                <w:kern w:val="0"/>
                <w:sz w:val="21"/>
                <w:szCs w:val="21"/>
                <w:highlight w:val="none"/>
                <w:lang w:val="en-US" w:eastAsia="zh-CN" w:bidi="ar"/>
              </w:rPr>
              <w:t>其他统计类别</w:t>
            </w:r>
          </w:p>
        </w:tc>
        <w:tc>
          <w:tcPr>
            <w:tcW w:w="2471"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宋体"/>
                <w:b w:val="0"/>
                <w:bCs/>
                <w:color w:val="0C0C0C"/>
                <w:kern w:val="2"/>
                <w:sz w:val="21"/>
                <w:szCs w:val="21"/>
                <w:highlight w:val="none"/>
                <w:lang w:val="en-US" w:eastAsia="zh-CN" w:bidi="ar-SA"/>
              </w:rPr>
            </w:pPr>
            <w:r>
              <w:rPr>
                <w:rFonts w:hint="default" w:ascii="Times New Roman" w:hAnsi="Times New Roman" w:eastAsia="宋体" w:cs="Times New Roman"/>
                <w:b w:val="0"/>
                <w:bCs w:val="0"/>
                <w:color w:val="0C0C0C"/>
                <w:kern w:val="2"/>
                <w:sz w:val="21"/>
                <w:szCs w:val="21"/>
                <w:highlight w:val="none"/>
                <w:lang w:val="en-US" w:eastAsia="zh-CN" w:bidi="ar-SA"/>
              </w:rPr>
              <w:t>—</w:t>
            </w:r>
          </w:p>
        </w:tc>
        <w:tc>
          <w:tcPr>
            <w:tcW w:w="2473" w:type="dxa"/>
            <w:tcBorders>
              <w:top w:val="nil"/>
              <w:left w:val="single" w:color="auto" w:sz="4" w:space="0"/>
              <w:bottom w:val="single" w:color="auto" w:sz="12" w:space="0"/>
              <w:right w:val="nil"/>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宋体"/>
                <w:b w:val="0"/>
                <w:bCs/>
                <w:color w:val="0C0C0C"/>
                <w:kern w:val="2"/>
                <w:sz w:val="21"/>
                <w:szCs w:val="21"/>
                <w:highlight w:val="none"/>
                <w:lang w:val="en-US" w:eastAsia="zh-CN" w:bidi="ar-SA"/>
              </w:rPr>
            </w:pPr>
            <w:r>
              <w:rPr>
                <w:rFonts w:hint="default" w:ascii="Times New Roman" w:hAnsi="Times New Roman" w:eastAsia="宋体" w:cs="Times New Roman"/>
                <w:b w:val="0"/>
                <w:bCs w:val="0"/>
                <w:color w:val="0C0C0C"/>
                <w:kern w:val="2"/>
                <w:sz w:val="21"/>
                <w:szCs w:val="21"/>
                <w:highlight w:val="none"/>
                <w:lang w:val="en-US" w:eastAsia="zh-CN" w:bidi="ar-SA"/>
              </w:rPr>
              <w:t>—</w:t>
            </w:r>
          </w:p>
        </w:tc>
      </w:tr>
    </w:tbl>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楷体_GB2312" w:hAnsi="楷体_GB2312" w:eastAsia="楷体_GB2312" w:cs="楷体_GB2312"/>
          <w:i w:val="0"/>
          <w:caps w:val="0"/>
          <w:color w:val="0C0C0C"/>
          <w:spacing w:val="0"/>
          <w:kern w:val="0"/>
          <w:sz w:val="32"/>
          <w:szCs w:val="32"/>
          <w:highlight w:val="none"/>
          <w:lang w:val="en-US" w:eastAsia="zh-CN" w:bidi="ar"/>
        </w:rPr>
      </w:pPr>
      <w:r>
        <w:rPr>
          <w:rFonts w:hint="eastAsia" w:ascii="楷体_GB2312" w:hAnsi="楷体_GB2312" w:eastAsia="楷体_GB2312" w:cs="楷体_GB2312"/>
          <w:i w:val="0"/>
          <w:caps w:val="0"/>
          <w:color w:val="0C0C0C"/>
          <w:spacing w:val="0"/>
          <w:kern w:val="0"/>
          <w:sz w:val="32"/>
          <w:szCs w:val="32"/>
          <w:highlight w:val="none"/>
          <w:lang w:val="en-US" w:eastAsia="zh-CN" w:bidi="ar"/>
        </w:rPr>
        <w:t>（二）主要经济指标</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2023年末，住宿和餐饮业企业法人单位资产总计</w:t>
      </w:r>
      <w:r>
        <w:rPr>
          <w:rFonts w:hint="eastAsia" w:ascii="Times New Roman" w:hAnsi="Times New Roman" w:eastAsia="仿宋_GB2312" w:cs="仿宋_GB2312"/>
          <w:color w:val="0C0C0C"/>
          <w:sz w:val="32"/>
          <w:szCs w:val="32"/>
          <w:u w:val="none"/>
          <w:lang w:val="en-US" w:eastAsia="zh-CN"/>
        </w:rPr>
        <w:t>97.87</w:t>
      </w:r>
      <w:r>
        <w:rPr>
          <w:rFonts w:hint="eastAsia" w:ascii="Times New Roman" w:hAnsi="Times New Roman" w:eastAsia="仿宋_GB2312" w:cs="仿宋_GB2312"/>
          <w:color w:val="0C0C0C"/>
          <w:spacing w:val="-6"/>
          <w:kern w:val="2"/>
          <w:sz w:val="32"/>
          <w:szCs w:val="32"/>
          <w:u w:val="none"/>
          <w:lang w:val="en-US" w:eastAsia="zh-CN" w:bidi="ar-SA"/>
        </w:rPr>
        <w:t>亿元，比2018年末增长</w:t>
      </w:r>
      <w:r>
        <w:rPr>
          <w:rFonts w:hint="eastAsia" w:ascii="Times New Roman" w:hAnsi="Times New Roman" w:eastAsia="仿宋_GB2312" w:cs="仿宋_GB2312"/>
          <w:color w:val="0C0C0C"/>
          <w:sz w:val="32"/>
          <w:szCs w:val="32"/>
          <w:u w:val="none"/>
          <w:lang w:val="en-US" w:eastAsia="zh-CN"/>
        </w:rPr>
        <w:t>87.1</w:t>
      </w:r>
      <w:r>
        <w:rPr>
          <w:rFonts w:hint="eastAsia" w:ascii="Times New Roman" w:hAnsi="Times New Roman" w:eastAsia="仿宋_GB2312" w:cs="仿宋_GB2312"/>
          <w:color w:val="0C0C0C"/>
          <w:spacing w:val="-6"/>
          <w:kern w:val="2"/>
          <w:sz w:val="32"/>
          <w:szCs w:val="32"/>
          <w:u w:val="none"/>
          <w:lang w:val="en-US" w:eastAsia="zh-CN" w:bidi="ar-SA"/>
        </w:rPr>
        <w:t>%；负债合计</w:t>
      </w:r>
      <w:r>
        <w:rPr>
          <w:rFonts w:hint="eastAsia" w:ascii="Times New Roman" w:hAnsi="Times New Roman" w:eastAsia="仿宋_GB2312" w:cs="仿宋_GB2312"/>
          <w:color w:val="0C0C0C"/>
          <w:sz w:val="32"/>
          <w:szCs w:val="32"/>
          <w:u w:val="none"/>
          <w:lang w:val="en-US" w:eastAsia="zh-CN"/>
        </w:rPr>
        <w:t>95.48</w:t>
      </w:r>
      <w:r>
        <w:rPr>
          <w:rFonts w:hint="eastAsia" w:ascii="Times New Roman" w:hAnsi="Times New Roman" w:eastAsia="仿宋_GB2312" w:cs="仿宋_GB2312"/>
          <w:color w:val="0C0C0C"/>
          <w:spacing w:val="-6"/>
          <w:kern w:val="2"/>
          <w:sz w:val="32"/>
          <w:szCs w:val="32"/>
          <w:u w:val="none"/>
          <w:lang w:val="en-US" w:eastAsia="zh-CN" w:bidi="ar-SA"/>
        </w:rPr>
        <w:t>亿元，比2018年末增长</w:t>
      </w:r>
      <w:r>
        <w:rPr>
          <w:rFonts w:hint="eastAsia" w:ascii="Times New Roman" w:hAnsi="Times New Roman" w:eastAsia="仿宋_GB2312" w:cs="仿宋_GB2312"/>
          <w:color w:val="0C0C0C"/>
          <w:sz w:val="32"/>
          <w:szCs w:val="32"/>
          <w:u w:val="none"/>
          <w:lang w:val="en-US" w:eastAsia="zh-CN"/>
        </w:rPr>
        <w:t>1.1倍</w:t>
      </w:r>
      <w:r>
        <w:rPr>
          <w:rFonts w:hint="eastAsia" w:ascii="Times New Roman" w:hAnsi="Times New Roman" w:eastAsia="仿宋_GB2312" w:cs="仿宋_GB2312"/>
          <w:color w:val="0C0C0C"/>
          <w:spacing w:val="-6"/>
          <w:kern w:val="2"/>
          <w:sz w:val="32"/>
          <w:szCs w:val="32"/>
          <w:u w:val="none"/>
          <w:lang w:val="en-US" w:eastAsia="zh-CN" w:bidi="ar-SA"/>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2023年，住宿和餐饮业企业法人单位全年实现营业收入</w:t>
      </w:r>
      <w:r>
        <w:rPr>
          <w:rFonts w:hint="eastAsia" w:ascii="Times New Roman" w:hAnsi="Times New Roman" w:eastAsia="仿宋_GB2312" w:cs="仿宋_GB2312"/>
          <w:color w:val="0C0C0C"/>
          <w:sz w:val="32"/>
          <w:szCs w:val="32"/>
          <w:u w:val="none"/>
          <w:lang w:val="en-US" w:eastAsia="zh-CN"/>
        </w:rPr>
        <w:t>27.30</w:t>
      </w:r>
      <w:r>
        <w:rPr>
          <w:rFonts w:hint="eastAsia" w:ascii="Times New Roman" w:hAnsi="Times New Roman" w:eastAsia="仿宋_GB2312" w:cs="仿宋_GB2312"/>
          <w:color w:val="0C0C0C"/>
          <w:spacing w:val="-6"/>
          <w:kern w:val="2"/>
          <w:sz w:val="32"/>
          <w:szCs w:val="32"/>
          <w:u w:val="none"/>
          <w:lang w:val="en-US" w:eastAsia="zh-CN" w:bidi="ar-SA"/>
        </w:rPr>
        <w:t>亿元，比</w:t>
      </w:r>
      <w:r>
        <w:rPr>
          <w:rFonts w:hint="eastAsia" w:ascii="Times New Roman" w:hAnsi="Times New Roman" w:eastAsia="仿宋_GB2312" w:cs="仿宋_GB2312"/>
          <w:color w:val="0C0C0C"/>
          <w:spacing w:val="0"/>
          <w:kern w:val="2"/>
          <w:sz w:val="32"/>
          <w:szCs w:val="32"/>
          <w:u w:val="none"/>
          <w:lang w:val="en-US" w:eastAsia="zh-CN" w:bidi="ar-SA"/>
        </w:rPr>
        <w:t>2018</w:t>
      </w:r>
      <w:r>
        <w:rPr>
          <w:rFonts w:hint="eastAsia" w:ascii="Times New Roman" w:hAnsi="Times New Roman" w:eastAsia="仿宋_GB2312" w:cs="仿宋_GB2312"/>
          <w:color w:val="0C0C0C"/>
          <w:spacing w:val="-6"/>
          <w:kern w:val="2"/>
          <w:sz w:val="32"/>
          <w:szCs w:val="32"/>
          <w:u w:val="none"/>
          <w:lang w:val="en-US" w:eastAsia="zh-CN" w:bidi="ar-SA"/>
        </w:rPr>
        <w:t>年增长</w:t>
      </w:r>
      <w:r>
        <w:rPr>
          <w:rFonts w:hint="eastAsia" w:ascii="Times New Roman" w:hAnsi="Times New Roman" w:eastAsia="仿宋_GB2312" w:cs="仿宋_GB2312"/>
          <w:color w:val="0C0C0C"/>
          <w:sz w:val="32"/>
          <w:szCs w:val="32"/>
          <w:u w:val="none"/>
          <w:lang w:val="en-US" w:eastAsia="zh-CN"/>
        </w:rPr>
        <w:t>1.3倍</w:t>
      </w:r>
      <w:r>
        <w:rPr>
          <w:rFonts w:hint="eastAsia" w:ascii="Times New Roman" w:hAnsi="Times New Roman" w:eastAsia="仿宋_GB2312" w:cs="仿宋_GB2312"/>
          <w:color w:val="0C0C0C"/>
          <w:spacing w:val="-6"/>
          <w:kern w:val="2"/>
          <w:sz w:val="32"/>
          <w:szCs w:val="32"/>
          <w:u w:val="none"/>
          <w:lang w:val="en-US" w:eastAsia="zh-CN" w:bidi="ar-SA"/>
        </w:rPr>
        <w:t>（详见表4-9）。</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79" w:beforeLines="3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表4-9　按行业中类分组的住宿和餐饮业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 xml:space="preserve">     企业法人单位主要经济指标</w:t>
      </w:r>
    </w:p>
    <w:tbl>
      <w:tblPr>
        <w:tblStyle w:val="11"/>
        <w:tblW w:w="8839" w:type="dxa"/>
        <w:jc w:val="center"/>
        <w:tblInd w:w="0" w:type="dxa"/>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
      <w:tblGrid>
        <w:gridCol w:w="3800"/>
        <w:gridCol w:w="1679"/>
        <w:gridCol w:w="1679"/>
        <w:gridCol w:w="1681"/>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23" w:hRule="atLeast"/>
          <w:jc w:val="center"/>
        </w:trPr>
        <w:tc>
          <w:tcPr>
            <w:tcW w:w="3800" w:type="dxa"/>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　</w:t>
            </w:r>
          </w:p>
        </w:tc>
        <w:tc>
          <w:tcPr>
            <w:tcW w:w="1679" w:type="dxa"/>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资产总计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leftChars="0" w:right="57" w:rightChars="0"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w:t>
            </w:r>
            <w:r>
              <w:rPr>
                <w:rFonts w:hint="eastAsia" w:ascii="Times New Roman" w:hAnsi="Times New Roman" w:cs="宋体"/>
                <w:b/>
                <w:bCs/>
                <w:color w:val="0C0C0C"/>
                <w:kern w:val="0"/>
                <w:sz w:val="21"/>
                <w:szCs w:val="21"/>
                <w:highlight w:val="none"/>
                <w:lang w:val="en-US" w:eastAsia="zh-CN" w:bidi="ar"/>
              </w:rPr>
              <w:t>亿</w:t>
            </w:r>
            <w:r>
              <w:rPr>
                <w:rFonts w:hint="eastAsia" w:ascii="Times New Roman" w:hAnsi="Times New Roman" w:eastAsia="宋体" w:cs="宋体"/>
                <w:b/>
                <w:bCs/>
                <w:color w:val="0C0C0C"/>
                <w:kern w:val="0"/>
                <w:sz w:val="21"/>
                <w:szCs w:val="21"/>
                <w:highlight w:val="none"/>
                <w:lang w:val="en-US" w:eastAsia="zh-CN" w:bidi="ar"/>
              </w:rPr>
              <w:t>元）</w:t>
            </w:r>
          </w:p>
        </w:tc>
        <w:tc>
          <w:tcPr>
            <w:tcW w:w="1679" w:type="dxa"/>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负债合计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leftChars="0" w:right="57" w:rightChars="0"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w:t>
            </w:r>
            <w:r>
              <w:rPr>
                <w:rFonts w:hint="eastAsia" w:ascii="Times New Roman" w:hAnsi="Times New Roman" w:cs="宋体"/>
                <w:b/>
                <w:bCs/>
                <w:color w:val="0C0C0C"/>
                <w:kern w:val="0"/>
                <w:sz w:val="21"/>
                <w:szCs w:val="21"/>
                <w:highlight w:val="none"/>
                <w:lang w:val="en-US" w:eastAsia="zh-CN" w:bidi="ar"/>
              </w:rPr>
              <w:t>亿</w:t>
            </w:r>
            <w:r>
              <w:rPr>
                <w:rFonts w:hint="eastAsia" w:ascii="Times New Roman" w:hAnsi="Times New Roman" w:eastAsia="宋体" w:cs="宋体"/>
                <w:b/>
                <w:bCs/>
                <w:color w:val="0C0C0C"/>
                <w:kern w:val="0"/>
                <w:sz w:val="21"/>
                <w:szCs w:val="21"/>
                <w:highlight w:val="none"/>
                <w:lang w:val="en-US" w:eastAsia="zh-CN" w:bidi="ar"/>
              </w:rPr>
              <w:t>元）</w:t>
            </w:r>
          </w:p>
        </w:tc>
        <w:tc>
          <w:tcPr>
            <w:tcW w:w="1681" w:type="dxa"/>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营业收入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leftChars="0" w:right="57" w:rightChars="0"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w:t>
            </w:r>
            <w:r>
              <w:rPr>
                <w:rFonts w:hint="eastAsia" w:ascii="Times New Roman" w:hAnsi="Times New Roman" w:cs="宋体"/>
                <w:b/>
                <w:bCs/>
                <w:color w:val="0C0C0C"/>
                <w:kern w:val="0"/>
                <w:sz w:val="21"/>
                <w:szCs w:val="21"/>
                <w:highlight w:val="none"/>
                <w:lang w:val="en-US" w:eastAsia="zh-CN" w:bidi="ar"/>
              </w:rPr>
              <w:t>亿</w:t>
            </w:r>
            <w:r>
              <w:rPr>
                <w:rFonts w:hint="eastAsia" w:ascii="Times New Roman" w:hAnsi="Times New Roman" w:eastAsia="宋体" w:cs="宋体"/>
                <w:b/>
                <w:bCs/>
                <w:color w:val="0C0C0C"/>
                <w:kern w:val="0"/>
                <w:sz w:val="21"/>
                <w:szCs w:val="21"/>
                <w:highlight w:val="none"/>
                <w:lang w:val="en-US" w:eastAsia="zh-CN" w:bidi="ar"/>
              </w:rPr>
              <w:t>元）</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800" w:type="dxa"/>
            <w:tcBorders>
              <w:top w:val="single" w:color="auto" w:sz="8" w:space="0"/>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1679" w:type="dxa"/>
            <w:tcBorders>
              <w:top w:val="single" w:color="auto" w:sz="8" w:space="0"/>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97</w:t>
            </w:r>
            <w:r>
              <w:rPr>
                <w:rFonts w:hint="eastAsia" w:ascii="Times New Roman" w:hAnsi="Times New Roman" w:cs="宋体"/>
                <w:b/>
                <w:bCs/>
                <w:i w:val="0"/>
                <w:iCs w:val="0"/>
                <w:color w:val="000000"/>
                <w:kern w:val="0"/>
                <w:sz w:val="21"/>
                <w:szCs w:val="21"/>
                <w:u w:val="none"/>
                <w:lang w:val="en-US" w:eastAsia="zh-CN" w:bidi="ar"/>
              </w:rPr>
              <w:t>.</w:t>
            </w:r>
            <w:r>
              <w:rPr>
                <w:rFonts w:hint="eastAsia" w:ascii="Times New Roman" w:hAnsi="Times New Roman" w:eastAsia="宋体" w:cs="宋体"/>
                <w:b/>
                <w:bCs/>
                <w:i w:val="0"/>
                <w:iCs w:val="0"/>
                <w:color w:val="000000"/>
                <w:kern w:val="0"/>
                <w:sz w:val="21"/>
                <w:szCs w:val="21"/>
                <w:u w:val="none"/>
                <w:lang w:val="en-US" w:eastAsia="zh-CN" w:bidi="ar"/>
              </w:rPr>
              <w:t>8</w:t>
            </w:r>
            <w:r>
              <w:rPr>
                <w:rFonts w:hint="eastAsia" w:ascii="Times New Roman" w:hAnsi="Times New Roman" w:cs="宋体"/>
                <w:b/>
                <w:bCs/>
                <w:i w:val="0"/>
                <w:iCs w:val="0"/>
                <w:color w:val="000000"/>
                <w:kern w:val="0"/>
                <w:sz w:val="21"/>
                <w:szCs w:val="21"/>
                <w:u w:val="none"/>
                <w:lang w:val="en-US" w:eastAsia="zh-CN" w:bidi="ar"/>
              </w:rPr>
              <w:t>7</w:t>
            </w:r>
            <w:r>
              <w:rPr>
                <w:rFonts w:hint="eastAsia" w:ascii="Times New Roman" w:hAnsi="Times New Roman" w:eastAsia="宋体" w:cs="宋体"/>
                <w:b/>
                <w:bCs/>
                <w:i w:val="0"/>
                <w:iCs w:val="0"/>
                <w:color w:val="000000"/>
                <w:kern w:val="0"/>
                <w:sz w:val="21"/>
                <w:szCs w:val="21"/>
                <w:u w:val="none"/>
                <w:lang w:val="en-US" w:eastAsia="zh-CN" w:bidi="ar"/>
              </w:rPr>
              <w:t xml:space="preserve"> </w:t>
            </w:r>
          </w:p>
        </w:tc>
        <w:tc>
          <w:tcPr>
            <w:tcW w:w="1679" w:type="dxa"/>
            <w:tcBorders>
              <w:top w:val="single" w:color="auto" w:sz="8" w:space="0"/>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95</w:t>
            </w:r>
            <w:r>
              <w:rPr>
                <w:rFonts w:hint="eastAsia" w:ascii="Times New Roman" w:hAnsi="Times New Roman" w:cs="宋体"/>
                <w:b/>
                <w:bCs/>
                <w:i w:val="0"/>
                <w:iCs w:val="0"/>
                <w:color w:val="000000"/>
                <w:kern w:val="0"/>
                <w:sz w:val="21"/>
                <w:szCs w:val="21"/>
                <w:u w:val="none"/>
                <w:lang w:val="en-US" w:eastAsia="zh-CN" w:bidi="ar"/>
              </w:rPr>
              <w:t>.48</w:t>
            </w:r>
            <w:r>
              <w:rPr>
                <w:rFonts w:hint="eastAsia" w:ascii="Times New Roman" w:hAnsi="Times New Roman" w:eastAsia="宋体" w:cs="宋体"/>
                <w:b/>
                <w:bCs/>
                <w:i w:val="0"/>
                <w:iCs w:val="0"/>
                <w:color w:val="000000"/>
                <w:kern w:val="0"/>
                <w:sz w:val="21"/>
                <w:szCs w:val="21"/>
                <w:u w:val="none"/>
                <w:lang w:val="en-US" w:eastAsia="zh-CN" w:bidi="ar"/>
              </w:rPr>
              <w:t xml:space="preserve"> </w:t>
            </w:r>
          </w:p>
        </w:tc>
        <w:tc>
          <w:tcPr>
            <w:tcW w:w="1681" w:type="dxa"/>
            <w:tcBorders>
              <w:top w:val="single" w:color="auto" w:sz="8" w:space="0"/>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27</w:t>
            </w:r>
            <w:r>
              <w:rPr>
                <w:rFonts w:hint="eastAsia" w:ascii="Times New Roman" w:hAnsi="Times New Roman" w:cs="宋体"/>
                <w:b/>
                <w:bCs/>
                <w:i w:val="0"/>
                <w:iCs w:val="0"/>
                <w:color w:val="000000"/>
                <w:kern w:val="0"/>
                <w:sz w:val="21"/>
                <w:szCs w:val="21"/>
                <w:u w:val="none"/>
                <w:lang w:val="en-US" w:eastAsia="zh-CN" w:bidi="ar"/>
              </w:rPr>
              <w:t>.</w:t>
            </w:r>
            <w:r>
              <w:rPr>
                <w:rFonts w:hint="eastAsia" w:ascii="Times New Roman" w:hAnsi="Times New Roman" w:eastAsia="宋体" w:cs="宋体"/>
                <w:b/>
                <w:bCs/>
                <w:i w:val="0"/>
                <w:iCs w:val="0"/>
                <w:color w:val="000000"/>
                <w:kern w:val="0"/>
                <w:sz w:val="21"/>
                <w:szCs w:val="21"/>
                <w:u w:val="none"/>
                <w:lang w:val="en-US" w:eastAsia="zh-CN" w:bidi="ar"/>
              </w:rPr>
              <w:t xml:space="preserve">30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80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ightChars="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住宿业</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88</w:t>
            </w:r>
            <w:r>
              <w:rPr>
                <w:rFonts w:hint="eastAsia" w:ascii="Times New Roman" w:hAnsi="Times New Roman" w:cs="宋体"/>
                <w:b/>
                <w:bCs/>
                <w:i w:val="0"/>
                <w:iCs w:val="0"/>
                <w:color w:val="000000"/>
                <w:kern w:val="0"/>
                <w:sz w:val="21"/>
                <w:szCs w:val="21"/>
                <w:u w:val="none"/>
                <w:lang w:val="en-US" w:eastAsia="zh-CN" w:bidi="ar"/>
              </w:rPr>
              <w:t>.</w:t>
            </w:r>
            <w:r>
              <w:rPr>
                <w:rFonts w:hint="eastAsia" w:ascii="Times New Roman" w:hAnsi="Times New Roman" w:eastAsia="宋体" w:cs="宋体"/>
                <w:b/>
                <w:bCs/>
                <w:i w:val="0"/>
                <w:iCs w:val="0"/>
                <w:color w:val="000000"/>
                <w:kern w:val="0"/>
                <w:sz w:val="21"/>
                <w:szCs w:val="21"/>
                <w:u w:val="none"/>
                <w:lang w:val="en-US" w:eastAsia="zh-CN" w:bidi="ar"/>
              </w:rPr>
              <w:t>4</w:t>
            </w:r>
            <w:r>
              <w:rPr>
                <w:rFonts w:hint="eastAsia" w:ascii="Times New Roman" w:hAnsi="Times New Roman" w:cs="宋体"/>
                <w:b/>
                <w:bCs/>
                <w:i w:val="0"/>
                <w:iCs w:val="0"/>
                <w:color w:val="000000"/>
                <w:kern w:val="0"/>
                <w:sz w:val="21"/>
                <w:szCs w:val="21"/>
                <w:u w:val="none"/>
                <w:lang w:val="en-US" w:eastAsia="zh-CN" w:bidi="ar"/>
              </w:rPr>
              <w:t>7</w:t>
            </w:r>
            <w:r>
              <w:rPr>
                <w:rFonts w:hint="eastAsia" w:ascii="Times New Roman" w:hAnsi="Times New Roman" w:eastAsia="宋体" w:cs="宋体"/>
                <w:b/>
                <w:bCs/>
                <w:i w:val="0"/>
                <w:iCs w:val="0"/>
                <w:color w:val="000000"/>
                <w:kern w:val="0"/>
                <w:sz w:val="21"/>
                <w:szCs w:val="21"/>
                <w:u w:val="none"/>
                <w:lang w:val="en-US" w:eastAsia="zh-CN" w:bidi="ar"/>
              </w:rPr>
              <w:t xml:space="preserve"> </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87</w:t>
            </w:r>
            <w:r>
              <w:rPr>
                <w:rFonts w:hint="eastAsia" w:ascii="Times New Roman" w:hAnsi="Times New Roman" w:cs="宋体"/>
                <w:b/>
                <w:bCs/>
                <w:i w:val="0"/>
                <w:iCs w:val="0"/>
                <w:color w:val="000000"/>
                <w:kern w:val="0"/>
                <w:sz w:val="21"/>
                <w:szCs w:val="21"/>
                <w:u w:val="none"/>
                <w:lang w:val="en-US" w:eastAsia="zh-CN" w:bidi="ar"/>
              </w:rPr>
              <w:t>.60</w:t>
            </w:r>
            <w:r>
              <w:rPr>
                <w:rFonts w:hint="eastAsia" w:ascii="Times New Roman" w:hAnsi="Times New Roman" w:eastAsia="宋体" w:cs="宋体"/>
                <w:b/>
                <w:bCs/>
                <w:i w:val="0"/>
                <w:iCs w:val="0"/>
                <w:color w:val="000000"/>
                <w:kern w:val="0"/>
                <w:sz w:val="21"/>
                <w:szCs w:val="21"/>
                <w:u w:val="none"/>
                <w:lang w:val="en-US" w:eastAsia="zh-CN" w:bidi="ar"/>
              </w:rPr>
              <w:t xml:space="preserve"> </w:t>
            </w:r>
          </w:p>
        </w:tc>
        <w:tc>
          <w:tcPr>
            <w:tcW w:w="168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12</w:t>
            </w:r>
            <w:r>
              <w:rPr>
                <w:rFonts w:hint="eastAsia" w:ascii="Times New Roman" w:hAnsi="Times New Roman" w:cs="宋体"/>
                <w:b/>
                <w:bCs/>
                <w:i w:val="0"/>
                <w:iCs w:val="0"/>
                <w:color w:val="000000"/>
                <w:kern w:val="0"/>
                <w:sz w:val="21"/>
                <w:szCs w:val="21"/>
                <w:u w:val="none"/>
                <w:lang w:val="en-US" w:eastAsia="zh-CN" w:bidi="ar"/>
              </w:rPr>
              <w:t>.40</w:t>
            </w:r>
            <w:r>
              <w:rPr>
                <w:rFonts w:hint="eastAsia" w:ascii="Times New Roman" w:hAnsi="Times New Roman" w:eastAsia="宋体" w:cs="宋体"/>
                <w:b/>
                <w:bCs/>
                <w:i w:val="0"/>
                <w:iCs w:val="0"/>
                <w:color w:val="000000"/>
                <w:kern w:val="0"/>
                <w:sz w:val="21"/>
                <w:szCs w:val="21"/>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80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ightChars="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旅游饭店</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84</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3</w:t>
            </w:r>
            <w:r>
              <w:rPr>
                <w:rFonts w:hint="eastAsia" w:ascii="Times New Roman" w:hAnsi="Times New Roman" w:cs="宋体"/>
                <w:i w:val="0"/>
                <w:iCs w:val="0"/>
                <w:color w:val="000000"/>
                <w:kern w:val="0"/>
                <w:sz w:val="21"/>
                <w:szCs w:val="21"/>
                <w:u w:val="none"/>
                <w:lang w:val="en-US" w:eastAsia="zh-CN" w:bidi="ar"/>
              </w:rPr>
              <w:t>1</w:t>
            </w:r>
            <w:r>
              <w:rPr>
                <w:rFonts w:hint="eastAsia" w:ascii="Times New Roman" w:hAnsi="Times New Roman" w:eastAsia="宋体" w:cs="宋体"/>
                <w:i w:val="0"/>
                <w:iCs w:val="0"/>
                <w:color w:val="000000"/>
                <w:kern w:val="0"/>
                <w:sz w:val="21"/>
                <w:szCs w:val="21"/>
                <w:u w:val="none"/>
                <w:lang w:val="en-US" w:eastAsia="zh-CN" w:bidi="ar"/>
              </w:rPr>
              <w:t xml:space="preserve"> </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84</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7</w:t>
            </w:r>
            <w:r>
              <w:rPr>
                <w:rFonts w:hint="eastAsia" w:ascii="Times New Roman" w:hAnsi="Times New Roman" w:cs="宋体"/>
                <w:i w:val="0"/>
                <w:iCs w:val="0"/>
                <w:color w:val="000000"/>
                <w:kern w:val="0"/>
                <w:sz w:val="21"/>
                <w:szCs w:val="21"/>
                <w:u w:val="none"/>
                <w:lang w:val="en-US" w:eastAsia="zh-CN" w:bidi="ar"/>
              </w:rPr>
              <w:t>2</w:t>
            </w:r>
            <w:r>
              <w:rPr>
                <w:rFonts w:hint="eastAsia" w:ascii="Times New Roman" w:hAnsi="Times New Roman" w:eastAsia="宋体" w:cs="宋体"/>
                <w:i w:val="0"/>
                <w:iCs w:val="0"/>
                <w:color w:val="000000"/>
                <w:kern w:val="0"/>
                <w:sz w:val="21"/>
                <w:szCs w:val="21"/>
                <w:u w:val="none"/>
                <w:lang w:val="en-US" w:eastAsia="zh-CN" w:bidi="ar"/>
              </w:rPr>
              <w:t xml:space="preserve"> </w:t>
            </w:r>
          </w:p>
        </w:tc>
        <w:tc>
          <w:tcPr>
            <w:tcW w:w="168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9</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 xml:space="preserve">72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80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ightChars="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一般旅馆</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 xml:space="preserve">51 </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2</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3</w:t>
            </w:r>
            <w:r>
              <w:rPr>
                <w:rFonts w:hint="eastAsia" w:ascii="Times New Roman" w:hAnsi="Times New Roman" w:cs="宋体"/>
                <w:i w:val="0"/>
                <w:iCs w:val="0"/>
                <w:color w:val="000000"/>
                <w:kern w:val="0"/>
                <w:sz w:val="21"/>
                <w:szCs w:val="21"/>
                <w:u w:val="none"/>
                <w:lang w:val="en-US" w:eastAsia="zh-CN" w:bidi="ar"/>
              </w:rPr>
              <w:t>8</w:t>
            </w:r>
            <w:r>
              <w:rPr>
                <w:rFonts w:hint="eastAsia" w:ascii="Times New Roman" w:hAnsi="Times New Roman" w:eastAsia="宋体" w:cs="宋体"/>
                <w:i w:val="0"/>
                <w:iCs w:val="0"/>
                <w:color w:val="000000"/>
                <w:kern w:val="0"/>
                <w:sz w:val="21"/>
                <w:szCs w:val="21"/>
                <w:u w:val="none"/>
                <w:lang w:val="en-US" w:eastAsia="zh-CN" w:bidi="ar"/>
              </w:rPr>
              <w:t xml:space="preserve"> </w:t>
            </w:r>
          </w:p>
        </w:tc>
        <w:tc>
          <w:tcPr>
            <w:tcW w:w="168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2</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04</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80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ightChars="0" w:firstLine="420" w:firstLineChars="200"/>
              <w:jc w:val="left"/>
              <w:textAlignment w:val="auto"/>
              <w:rPr>
                <w:rFonts w:hint="eastAsia" w:ascii="Times New Roman" w:hAnsi="Times New Roman" w:eastAsia="宋体" w:cs="宋体"/>
                <w:color w:val="0C0C0C"/>
                <w:kern w:val="0"/>
                <w:sz w:val="21"/>
                <w:szCs w:val="21"/>
                <w:highlight w:val="none"/>
                <w:lang w:val="en-US" w:eastAsia="zh-CN" w:bidi="ar"/>
              </w:rPr>
            </w:pPr>
            <w:r>
              <w:rPr>
                <w:rFonts w:hint="eastAsia" w:ascii="Times New Roman" w:hAnsi="Times New Roman" w:eastAsia="宋体" w:cs="宋体"/>
                <w:color w:val="0C0C0C"/>
                <w:kern w:val="0"/>
                <w:sz w:val="21"/>
                <w:szCs w:val="21"/>
                <w:highlight w:val="none"/>
                <w:lang w:val="en-US" w:eastAsia="zh-CN" w:bidi="ar"/>
              </w:rPr>
              <w:t>民宿服务</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cs="宋体"/>
                <w:i w:val="0"/>
                <w:iCs w:val="0"/>
                <w:color w:val="000000"/>
                <w:kern w:val="0"/>
                <w:sz w:val="21"/>
                <w:szCs w:val="21"/>
                <w:u w:val="none"/>
                <w:lang w:val="en-US" w:eastAsia="zh-CN" w:bidi="ar"/>
              </w:rPr>
              <w:t>0.57</w:t>
            </w:r>
            <w:r>
              <w:rPr>
                <w:rFonts w:hint="eastAsia" w:ascii="Times New Roman" w:hAnsi="Times New Roman" w:eastAsia="宋体" w:cs="宋体"/>
                <w:i w:val="0"/>
                <w:iCs w:val="0"/>
                <w:color w:val="000000"/>
                <w:kern w:val="0"/>
                <w:sz w:val="21"/>
                <w:szCs w:val="21"/>
                <w:u w:val="none"/>
                <w:lang w:val="en-US" w:eastAsia="zh-CN" w:bidi="ar"/>
              </w:rPr>
              <w:t xml:space="preserve"> </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cs="宋体"/>
                <w:i w:val="0"/>
                <w:iCs w:val="0"/>
                <w:color w:val="000000"/>
                <w:kern w:val="0"/>
                <w:sz w:val="21"/>
                <w:szCs w:val="21"/>
                <w:u w:val="none"/>
                <w:lang w:val="en-US" w:eastAsia="zh-CN" w:bidi="ar"/>
              </w:rPr>
              <w:t>0.</w:t>
            </w:r>
            <w:r>
              <w:rPr>
                <w:rFonts w:hint="eastAsia" w:ascii="Times New Roman" w:hAnsi="Times New Roman" w:eastAsia="宋体" w:cs="宋体"/>
                <w:i w:val="0"/>
                <w:iCs w:val="0"/>
                <w:color w:val="000000"/>
                <w:kern w:val="0"/>
                <w:sz w:val="21"/>
                <w:szCs w:val="21"/>
                <w:u w:val="none"/>
                <w:lang w:val="en-US" w:eastAsia="zh-CN" w:bidi="ar"/>
              </w:rPr>
              <w:t>4</w:t>
            </w:r>
            <w:r>
              <w:rPr>
                <w:rFonts w:hint="eastAsia" w:ascii="Times New Roman" w:hAnsi="Times New Roman" w:cs="宋体"/>
                <w:i w:val="0"/>
                <w:iCs w:val="0"/>
                <w:color w:val="000000"/>
                <w:kern w:val="0"/>
                <w:sz w:val="21"/>
                <w:szCs w:val="21"/>
                <w:u w:val="none"/>
                <w:lang w:val="en-US" w:eastAsia="zh-CN" w:bidi="ar"/>
              </w:rPr>
              <w:t>3</w:t>
            </w:r>
            <w:r>
              <w:rPr>
                <w:rFonts w:hint="eastAsia" w:ascii="Times New Roman" w:hAnsi="Times New Roman" w:eastAsia="宋体" w:cs="宋体"/>
                <w:i w:val="0"/>
                <w:iCs w:val="0"/>
                <w:color w:val="000000"/>
                <w:kern w:val="0"/>
                <w:sz w:val="21"/>
                <w:szCs w:val="21"/>
                <w:u w:val="none"/>
                <w:lang w:val="en-US" w:eastAsia="zh-CN" w:bidi="ar"/>
              </w:rPr>
              <w:t xml:space="preserve"> </w:t>
            </w:r>
          </w:p>
        </w:tc>
        <w:tc>
          <w:tcPr>
            <w:tcW w:w="168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cs="宋体"/>
                <w:i w:val="0"/>
                <w:iCs w:val="0"/>
                <w:color w:val="000000"/>
                <w:kern w:val="0"/>
                <w:sz w:val="21"/>
                <w:szCs w:val="21"/>
                <w:u w:val="none"/>
                <w:lang w:val="en-US" w:eastAsia="zh-CN" w:bidi="ar"/>
              </w:rPr>
              <w:t>0.</w:t>
            </w:r>
            <w:r>
              <w:rPr>
                <w:rFonts w:hint="eastAsia" w:ascii="Times New Roman" w:hAnsi="Times New Roman" w:eastAsia="宋体" w:cs="宋体"/>
                <w:i w:val="0"/>
                <w:iCs w:val="0"/>
                <w:color w:val="000000"/>
                <w:kern w:val="0"/>
                <w:sz w:val="21"/>
                <w:szCs w:val="21"/>
                <w:u w:val="none"/>
                <w:lang w:val="en-US" w:eastAsia="zh-CN" w:bidi="ar"/>
              </w:rPr>
              <w:t>4</w:t>
            </w:r>
            <w:r>
              <w:rPr>
                <w:rFonts w:hint="eastAsia" w:ascii="Times New Roman" w:hAnsi="Times New Roman" w:cs="宋体"/>
                <w:i w:val="0"/>
                <w:iCs w:val="0"/>
                <w:color w:val="000000"/>
                <w:kern w:val="0"/>
                <w:sz w:val="21"/>
                <w:szCs w:val="21"/>
                <w:u w:val="none"/>
                <w:lang w:val="en-US" w:eastAsia="zh-CN" w:bidi="ar"/>
              </w:rPr>
              <w:t>7</w:t>
            </w:r>
            <w:r>
              <w:rPr>
                <w:rFonts w:hint="eastAsia" w:ascii="Times New Roman" w:hAnsi="Times New Roman" w:eastAsia="宋体" w:cs="宋体"/>
                <w:i w:val="0"/>
                <w:iCs w:val="0"/>
                <w:color w:val="000000"/>
                <w:kern w:val="0"/>
                <w:sz w:val="21"/>
                <w:szCs w:val="21"/>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80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ightChars="0" w:firstLine="420" w:firstLineChars="200"/>
              <w:jc w:val="left"/>
              <w:textAlignment w:val="auto"/>
              <w:rPr>
                <w:rFonts w:hint="eastAsia" w:ascii="Times New Roman" w:hAnsi="Times New Roman" w:eastAsia="宋体" w:cs="宋体"/>
                <w:color w:val="0C0C0C"/>
                <w:kern w:val="0"/>
                <w:sz w:val="21"/>
                <w:szCs w:val="21"/>
                <w:highlight w:val="none"/>
                <w:lang w:val="en-US" w:eastAsia="zh-CN" w:bidi="ar"/>
              </w:rPr>
            </w:pPr>
            <w:r>
              <w:rPr>
                <w:rFonts w:hint="eastAsia" w:ascii="Times New Roman" w:hAnsi="Times New Roman" w:eastAsia="宋体" w:cs="宋体"/>
                <w:color w:val="0C0C0C"/>
                <w:kern w:val="0"/>
                <w:sz w:val="21"/>
                <w:szCs w:val="21"/>
                <w:highlight w:val="none"/>
                <w:lang w:val="en-US" w:eastAsia="zh-CN" w:bidi="ar"/>
              </w:rPr>
              <w:t>露营地服务</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 xml:space="preserve"> </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 xml:space="preserve"> </w:t>
            </w:r>
          </w:p>
        </w:tc>
        <w:tc>
          <w:tcPr>
            <w:tcW w:w="168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cs="宋体"/>
                <w:i w:val="0"/>
                <w:iCs w:val="0"/>
                <w:color w:val="000000"/>
                <w:kern w:val="0"/>
                <w:sz w:val="21"/>
                <w:szCs w:val="21"/>
                <w:u w:val="none"/>
                <w:lang w:val="en-US" w:eastAsia="zh-CN" w:bidi="ar"/>
              </w:rPr>
              <w:t>0.0</w:t>
            </w:r>
            <w:r>
              <w:rPr>
                <w:rFonts w:hint="eastAsia" w:ascii="Times New Roman" w:hAnsi="Times New Roman" w:eastAsia="宋体" w:cs="宋体"/>
                <w:i w:val="0"/>
                <w:iCs w:val="0"/>
                <w:color w:val="000000"/>
                <w:kern w:val="0"/>
                <w:sz w:val="21"/>
                <w:szCs w:val="21"/>
                <w:u w:val="none"/>
                <w:lang w:val="en-US" w:eastAsia="zh-CN" w:bidi="ar"/>
              </w:rPr>
              <w:t xml:space="preserve">1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80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ightChars="0" w:firstLine="420" w:firstLineChars="200"/>
              <w:jc w:val="left"/>
              <w:textAlignment w:val="auto"/>
              <w:rPr>
                <w:rFonts w:hint="eastAsia" w:ascii="Times New Roman" w:hAnsi="Times New Roman" w:eastAsia="宋体" w:cs="宋体"/>
                <w:color w:val="0C0C0C"/>
                <w:kern w:val="0"/>
                <w:sz w:val="21"/>
                <w:szCs w:val="21"/>
                <w:highlight w:val="none"/>
                <w:lang w:val="en-US" w:eastAsia="zh-CN" w:bidi="ar"/>
              </w:rPr>
            </w:pPr>
            <w:r>
              <w:rPr>
                <w:rFonts w:hint="eastAsia" w:ascii="Times New Roman" w:hAnsi="Times New Roman" w:eastAsia="宋体" w:cs="宋体"/>
                <w:color w:val="0C0C0C"/>
                <w:kern w:val="0"/>
                <w:sz w:val="21"/>
                <w:szCs w:val="21"/>
                <w:highlight w:val="none"/>
                <w:lang w:val="en-US" w:eastAsia="zh-CN" w:bidi="ar"/>
              </w:rPr>
              <w:t>其他住宿业</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cs="宋体"/>
                <w:i w:val="0"/>
                <w:iCs w:val="0"/>
                <w:color w:val="000000"/>
                <w:kern w:val="0"/>
                <w:sz w:val="21"/>
                <w:szCs w:val="21"/>
                <w:u w:val="none"/>
                <w:lang w:val="en-US" w:eastAsia="zh-CN" w:bidi="ar"/>
              </w:rPr>
              <w:t>0.0</w:t>
            </w:r>
            <w:r>
              <w:rPr>
                <w:rFonts w:hint="eastAsia" w:ascii="Times New Roman" w:hAnsi="Times New Roman" w:eastAsia="宋体" w:cs="宋体"/>
                <w:i w:val="0"/>
                <w:iCs w:val="0"/>
                <w:color w:val="000000"/>
                <w:kern w:val="0"/>
                <w:sz w:val="21"/>
                <w:szCs w:val="21"/>
                <w:u w:val="none"/>
                <w:lang w:val="en-US" w:eastAsia="zh-CN" w:bidi="ar"/>
              </w:rPr>
              <w:t xml:space="preserve">7 </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cs="宋体"/>
                <w:i w:val="0"/>
                <w:iCs w:val="0"/>
                <w:color w:val="000000"/>
                <w:kern w:val="0"/>
                <w:sz w:val="21"/>
                <w:szCs w:val="21"/>
                <w:u w:val="none"/>
                <w:lang w:val="en-US" w:eastAsia="zh-CN" w:bidi="ar"/>
              </w:rPr>
              <w:t>0.07</w:t>
            </w:r>
            <w:r>
              <w:rPr>
                <w:rFonts w:hint="eastAsia" w:ascii="Times New Roman" w:hAnsi="Times New Roman" w:eastAsia="宋体" w:cs="宋体"/>
                <w:i w:val="0"/>
                <w:iCs w:val="0"/>
                <w:color w:val="000000"/>
                <w:kern w:val="0"/>
                <w:sz w:val="21"/>
                <w:szCs w:val="21"/>
                <w:u w:val="none"/>
                <w:lang w:val="en-US" w:eastAsia="zh-CN" w:bidi="ar"/>
              </w:rPr>
              <w:t xml:space="preserve"> </w:t>
            </w:r>
          </w:p>
        </w:tc>
        <w:tc>
          <w:tcPr>
            <w:tcW w:w="168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cs="宋体"/>
                <w:i w:val="0"/>
                <w:iCs w:val="0"/>
                <w:color w:val="000000"/>
                <w:kern w:val="0"/>
                <w:sz w:val="21"/>
                <w:szCs w:val="21"/>
                <w:u w:val="none"/>
                <w:lang w:val="en-US" w:eastAsia="zh-CN" w:bidi="ar"/>
              </w:rPr>
              <w:t>0.</w:t>
            </w:r>
            <w:r>
              <w:rPr>
                <w:rFonts w:hint="eastAsia" w:ascii="Times New Roman" w:hAnsi="Times New Roman" w:eastAsia="宋体" w:cs="宋体"/>
                <w:i w:val="0"/>
                <w:iCs w:val="0"/>
                <w:color w:val="000000"/>
                <w:kern w:val="0"/>
                <w:sz w:val="21"/>
                <w:szCs w:val="21"/>
                <w:u w:val="none"/>
                <w:lang w:val="en-US" w:eastAsia="zh-CN" w:bidi="ar"/>
              </w:rPr>
              <w:t xml:space="preserve">15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80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ightChars="0" w:firstLine="0" w:firstLineChars="0"/>
              <w:jc w:val="left"/>
              <w:textAlignment w:val="auto"/>
              <w:rPr>
                <w:rFonts w:hint="eastAsia" w:ascii="Times New Roman" w:hAnsi="Times New Roman" w:eastAsia="宋体" w:cs="宋体"/>
                <w:color w:val="0C0C0C"/>
                <w:kern w:val="0"/>
                <w:sz w:val="21"/>
                <w:szCs w:val="21"/>
                <w:highlight w:val="none"/>
                <w:lang w:val="en-US" w:eastAsia="zh-CN" w:bidi="ar"/>
              </w:rPr>
            </w:pPr>
            <w:r>
              <w:rPr>
                <w:rFonts w:hint="eastAsia" w:ascii="Times New Roman" w:hAnsi="Times New Roman" w:eastAsia="宋体" w:cs="宋体"/>
                <w:b/>
                <w:color w:val="0C0C0C"/>
                <w:kern w:val="0"/>
                <w:sz w:val="21"/>
                <w:szCs w:val="21"/>
                <w:highlight w:val="none"/>
                <w:lang w:val="en-US" w:eastAsia="zh-CN" w:bidi="ar"/>
              </w:rPr>
              <w:t>餐饮业</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bCs/>
                <w:i w:val="0"/>
                <w:iCs w:val="0"/>
                <w:color w:val="000000"/>
                <w:kern w:val="0"/>
                <w:sz w:val="21"/>
                <w:szCs w:val="21"/>
                <w:u w:val="none"/>
                <w:lang w:val="en-US" w:eastAsia="zh-CN" w:bidi="ar"/>
              </w:rPr>
            </w:pPr>
            <w:r>
              <w:rPr>
                <w:rFonts w:hint="eastAsia" w:ascii="Times New Roman" w:hAnsi="Times New Roman" w:eastAsia="宋体" w:cs="宋体"/>
                <w:b/>
                <w:bCs/>
                <w:i w:val="0"/>
                <w:iCs w:val="0"/>
                <w:color w:val="000000"/>
                <w:kern w:val="0"/>
                <w:sz w:val="21"/>
                <w:szCs w:val="21"/>
                <w:u w:val="none"/>
                <w:lang w:val="en-US" w:eastAsia="zh-CN" w:bidi="ar"/>
              </w:rPr>
              <w:t>9</w:t>
            </w:r>
            <w:r>
              <w:rPr>
                <w:rFonts w:hint="eastAsia" w:ascii="Times New Roman" w:hAnsi="Times New Roman" w:cs="宋体"/>
                <w:b/>
                <w:bCs/>
                <w:i w:val="0"/>
                <w:iCs w:val="0"/>
                <w:color w:val="000000"/>
                <w:kern w:val="0"/>
                <w:sz w:val="21"/>
                <w:szCs w:val="21"/>
                <w:u w:val="none"/>
                <w:lang w:val="en-US" w:eastAsia="zh-CN" w:bidi="ar"/>
              </w:rPr>
              <w:t>.</w:t>
            </w:r>
            <w:r>
              <w:rPr>
                <w:rFonts w:hint="eastAsia" w:ascii="Times New Roman" w:hAnsi="Times New Roman" w:eastAsia="宋体" w:cs="宋体"/>
                <w:b/>
                <w:bCs/>
                <w:i w:val="0"/>
                <w:iCs w:val="0"/>
                <w:color w:val="000000"/>
                <w:kern w:val="0"/>
                <w:sz w:val="21"/>
                <w:szCs w:val="21"/>
                <w:u w:val="none"/>
                <w:lang w:val="en-US" w:eastAsia="zh-CN" w:bidi="ar"/>
              </w:rPr>
              <w:t xml:space="preserve">40 </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bCs/>
                <w:i w:val="0"/>
                <w:iCs w:val="0"/>
                <w:color w:val="000000"/>
                <w:kern w:val="0"/>
                <w:sz w:val="21"/>
                <w:szCs w:val="21"/>
                <w:u w:val="none"/>
                <w:lang w:val="en-US" w:eastAsia="zh-CN" w:bidi="ar"/>
              </w:rPr>
            </w:pPr>
            <w:r>
              <w:rPr>
                <w:rFonts w:hint="eastAsia" w:ascii="Times New Roman" w:hAnsi="Times New Roman" w:eastAsia="宋体" w:cs="宋体"/>
                <w:b/>
                <w:bCs/>
                <w:i w:val="0"/>
                <w:iCs w:val="0"/>
                <w:color w:val="000000"/>
                <w:kern w:val="0"/>
                <w:sz w:val="21"/>
                <w:szCs w:val="21"/>
                <w:u w:val="none"/>
                <w:lang w:val="en-US" w:eastAsia="zh-CN" w:bidi="ar"/>
              </w:rPr>
              <w:t>7</w:t>
            </w:r>
            <w:r>
              <w:rPr>
                <w:rFonts w:hint="eastAsia" w:ascii="Times New Roman" w:hAnsi="Times New Roman" w:cs="宋体"/>
                <w:b/>
                <w:bCs/>
                <w:i w:val="0"/>
                <w:iCs w:val="0"/>
                <w:color w:val="000000"/>
                <w:kern w:val="0"/>
                <w:sz w:val="21"/>
                <w:szCs w:val="21"/>
                <w:u w:val="none"/>
                <w:lang w:val="en-US" w:eastAsia="zh-CN" w:bidi="ar"/>
              </w:rPr>
              <w:t>.</w:t>
            </w:r>
            <w:r>
              <w:rPr>
                <w:rFonts w:hint="eastAsia" w:ascii="Times New Roman" w:hAnsi="Times New Roman" w:eastAsia="宋体" w:cs="宋体"/>
                <w:b/>
                <w:bCs/>
                <w:i w:val="0"/>
                <w:iCs w:val="0"/>
                <w:color w:val="000000"/>
                <w:kern w:val="0"/>
                <w:sz w:val="21"/>
                <w:szCs w:val="21"/>
                <w:u w:val="none"/>
                <w:lang w:val="en-US" w:eastAsia="zh-CN" w:bidi="ar"/>
              </w:rPr>
              <w:t>8</w:t>
            </w:r>
            <w:r>
              <w:rPr>
                <w:rFonts w:hint="eastAsia" w:ascii="Times New Roman" w:hAnsi="Times New Roman" w:cs="宋体"/>
                <w:b/>
                <w:bCs/>
                <w:i w:val="0"/>
                <w:iCs w:val="0"/>
                <w:color w:val="000000"/>
                <w:kern w:val="0"/>
                <w:sz w:val="21"/>
                <w:szCs w:val="21"/>
                <w:u w:val="none"/>
                <w:lang w:val="en-US" w:eastAsia="zh-CN" w:bidi="ar"/>
              </w:rPr>
              <w:t>9</w:t>
            </w:r>
            <w:r>
              <w:rPr>
                <w:rFonts w:hint="eastAsia" w:ascii="Times New Roman" w:hAnsi="Times New Roman" w:eastAsia="宋体" w:cs="宋体"/>
                <w:b/>
                <w:bCs/>
                <w:i w:val="0"/>
                <w:iCs w:val="0"/>
                <w:color w:val="000000"/>
                <w:kern w:val="0"/>
                <w:sz w:val="21"/>
                <w:szCs w:val="21"/>
                <w:u w:val="none"/>
                <w:lang w:val="en-US" w:eastAsia="zh-CN" w:bidi="ar"/>
              </w:rPr>
              <w:t xml:space="preserve"> </w:t>
            </w:r>
          </w:p>
        </w:tc>
        <w:tc>
          <w:tcPr>
            <w:tcW w:w="168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b/>
                <w:bCs/>
                <w:i w:val="0"/>
                <w:iCs w:val="0"/>
                <w:color w:val="000000"/>
                <w:kern w:val="0"/>
                <w:sz w:val="21"/>
                <w:szCs w:val="21"/>
                <w:u w:val="none"/>
                <w:lang w:val="en-US" w:eastAsia="zh-CN" w:bidi="ar"/>
              </w:rPr>
            </w:pPr>
            <w:r>
              <w:rPr>
                <w:rFonts w:hint="eastAsia" w:ascii="Times New Roman" w:hAnsi="Times New Roman" w:eastAsia="宋体" w:cs="宋体"/>
                <w:b/>
                <w:bCs/>
                <w:i w:val="0"/>
                <w:iCs w:val="0"/>
                <w:color w:val="000000"/>
                <w:kern w:val="0"/>
                <w:sz w:val="21"/>
                <w:szCs w:val="21"/>
                <w:u w:val="none"/>
                <w:lang w:val="en-US" w:eastAsia="zh-CN" w:bidi="ar"/>
              </w:rPr>
              <w:t>14</w:t>
            </w:r>
            <w:r>
              <w:rPr>
                <w:rFonts w:hint="eastAsia" w:ascii="Times New Roman" w:hAnsi="Times New Roman" w:cs="宋体"/>
                <w:b/>
                <w:bCs/>
                <w:i w:val="0"/>
                <w:iCs w:val="0"/>
                <w:color w:val="000000"/>
                <w:kern w:val="0"/>
                <w:sz w:val="21"/>
                <w:szCs w:val="21"/>
                <w:u w:val="none"/>
                <w:lang w:val="en-US" w:eastAsia="zh-CN" w:bidi="ar"/>
              </w:rPr>
              <w:t>.</w:t>
            </w:r>
            <w:r>
              <w:rPr>
                <w:rFonts w:hint="eastAsia" w:ascii="Times New Roman" w:hAnsi="Times New Roman" w:eastAsia="宋体" w:cs="宋体"/>
                <w:b/>
                <w:bCs/>
                <w:i w:val="0"/>
                <w:iCs w:val="0"/>
                <w:color w:val="000000"/>
                <w:kern w:val="0"/>
                <w:sz w:val="21"/>
                <w:szCs w:val="21"/>
                <w:u w:val="none"/>
                <w:lang w:val="en-US" w:eastAsia="zh-CN" w:bidi="ar"/>
              </w:rPr>
              <w:t>9</w:t>
            </w:r>
            <w:r>
              <w:rPr>
                <w:rFonts w:hint="eastAsia" w:ascii="Times New Roman" w:hAnsi="Times New Roman" w:cs="宋体"/>
                <w:b/>
                <w:bCs/>
                <w:i w:val="0"/>
                <w:iCs w:val="0"/>
                <w:color w:val="000000"/>
                <w:kern w:val="0"/>
                <w:sz w:val="21"/>
                <w:szCs w:val="21"/>
                <w:u w:val="none"/>
                <w:lang w:val="en-US" w:eastAsia="zh-CN" w:bidi="ar"/>
              </w:rPr>
              <w:t>1</w:t>
            </w:r>
            <w:r>
              <w:rPr>
                <w:rFonts w:hint="eastAsia" w:ascii="Times New Roman" w:hAnsi="Times New Roman" w:eastAsia="宋体" w:cs="宋体"/>
                <w:b/>
                <w:bCs/>
                <w:i w:val="0"/>
                <w:iCs w:val="0"/>
                <w:color w:val="000000"/>
                <w:kern w:val="0"/>
                <w:sz w:val="21"/>
                <w:szCs w:val="21"/>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80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ightChars="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正餐服务</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5</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 xml:space="preserve">96 </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5</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0</w:t>
            </w:r>
            <w:r>
              <w:rPr>
                <w:rFonts w:hint="eastAsia" w:ascii="Times New Roman" w:hAnsi="Times New Roman" w:cs="宋体"/>
                <w:i w:val="0"/>
                <w:iCs w:val="0"/>
                <w:color w:val="000000"/>
                <w:kern w:val="0"/>
                <w:sz w:val="21"/>
                <w:szCs w:val="21"/>
                <w:u w:val="none"/>
                <w:lang w:val="en-US" w:eastAsia="zh-CN" w:bidi="ar"/>
              </w:rPr>
              <w:t>8</w:t>
            </w:r>
            <w:r>
              <w:rPr>
                <w:rFonts w:hint="eastAsia" w:ascii="Times New Roman" w:hAnsi="Times New Roman" w:eastAsia="宋体" w:cs="宋体"/>
                <w:i w:val="0"/>
                <w:iCs w:val="0"/>
                <w:color w:val="000000"/>
                <w:kern w:val="0"/>
                <w:sz w:val="21"/>
                <w:szCs w:val="21"/>
                <w:u w:val="none"/>
                <w:lang w:val="en-US" w:eastAsia="zh-CN" w:bidi="ar"/>
              </w:rPr>
              <w:t xml:space="preserve"> </w:t>
            </w:r>
          </w:p>
        </w:tc>
        <w:tc>
          <w:tcPr>
            <w:tcW w:w="168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cs="宋体"/>
                <w:i w:val="0"/>
                <w:iCs w:val="0"/>
                <w:color w:val="000000"/>
                <w:kern w:val="0"/>
                <w:sz w:val="21"/>
                <w:szCs w:val="21"/>
                <w:u w:val="none"/>
                <w:lang w:val="en-US" w:eastAsia="zh-CN" w:bidi="ar"/>
              </w:rPr>
              <w:t>9.0</w:t>
            </w:r>
            <w:r>
              <w:rPr>
                <w:rFonts w:hint="eastAsia" w:ascii="Times New Roman" w:hAnsi="Times New Roman" w:eastAsia="宋体" w:cs="宋体"/>
                <w:i w:val="0"/>
                <w:iCs w:val="0"/>
                <w:color w:val="000000"/>
                <w:kern w:val="0"/>
                <w:sz w:val="21"/>
                <w:szCs w:val="21"/>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80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ightChars="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快餐服务</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cs="宋体"/>
                <w:i w:val="0"/>
                <w:iCs w:val="0"/>
                <w:color w:val="000000"/>
                <w:kern w:val="0"/>
                <w:sz w:val="21"/>
                <w:szCs w:val="21"/>
                <w:u w:val="none"/>
                <w:lang w:val="en-US" w:eastAsia="zh-CN" w:bidi="ar"/>
              </w:rPr>
              <w:t>0.</w:t>
            </w:r>
            <w:r>
              <w:rPr>
                <w:rFonts w:hint="eastAsia" w:ascii="Times New Roman" w:hAnsi="Times New Roman" w:eastAsia="宋体" w:cs="宋体"/>
                <w:i w:val="0"/>
                <w:iCs w:val="0"/>
                <w:color w:val="000000"/>
                <w:kern w:val="0"/>
                <w:sz w:val="21"/>
                <w:szCs w:val="21"/>
                <w:u w:val="none"/>
                <w:lang w:val="en-US" w:eastAsia="zh-CN" w:bidi="ar"/>
              </w:rPr>
              <w:t xml:space="preserve">12 </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cs="宋体"/>
                <w:i w:val="0"/>
                <w:iCs w:val="0"/>
                <w:color w:val="000000"/>
                <w:kern w:val="0"/>
                <w:sz w:val="21"/>
                <w:szCs w:val="21"/>
                <w:u w:val="none"/>
                <w:lang w:val="en-US" w:eastAsia="zh-CN" w:bidi="ar"/>
              </w:rPr>
              <w:t>0.05</w:t>
            </w:r>
            <w:r>
              <w:rPr>
                <w:rFonts w:hint="eastAsia" w:ascii="Times New Roman" w:hAnsi="Times New Roman" w:eastAsia="宋体" w:cs="宋体"/>
                <w:i w:val="0"/>
                <w:iCs w:val="0"/>
                <w:color w:val="000000"/>
                <w:kern w:val="0"/>
                <w:sz w:val="21"/>
                <w:szCs w:val="21"/>
                <w:u w:val="none"/>
                <w:lang w:val="en-US" w:eastAsia="zh-CN" w:bidi="ar"/>
              </w:rPr>
              <w:t xml:space="preserve"> </w:t>
            </w:r>
          </w:p>
        </w:tc>
        <w:tc>
          <w:tcPr>
            <w:tcW w:w="168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cs="宋体"/>
                <w:i w:val="0"/>
                <w:iCs w:val="0"/>
                <w:color w:val="000000"/>
                <w:kern w:val="0"/>
                <w:sz w:val="21"/>
                <w:szCs w:val="21"/>
                <w:u w:val="none"/>
                <w:lang w:val="en-US" w:eastAsia="zh-CN" w:bidi="ar"/>
              </w:rPr>
              <w:t>0.</w:t>
            </w:r>
            <w:r>
              <w:rPr>
                <w:rFonts w:hint="eastAsia" w:ascii="Times New Roman" w:hAnsi="Times New Roman" w:eastAsia="宋体" w:cs="宋体"/>
                <w:i w:val="0"/>
                <w:iCs w:val="0"/>
                <w:color w:val="000000"/>
                <w:kern w:val="0"/>
                <w:sz w:val="21"/>
                <w:szCs w:val="21"/>
                <w:u w:val="none"/>
                <w:lang w:val="en-US" w:eastAsia="zh-CN" w:bidi="ar"/>
              </w:rPr>
              <w:t>2</w:t>
            </w:r>
            <w:r>
              <w:rPr>
                <w:rFonts w:hint="eastAsia" w:ascii="Times New Roman" w:hAnsi="Times New Roman" w:cs="宋体"/>
                <w:i w:val="0"/>
                <w:iCs w:val="0"/>
                <w:color w:val="000000"/>
                <w:kern w:val="0"/>
                <w:sz w:val="21"/>
                <w:szCs w:val="21"/>
                <w:u w:val="none"/>
                <w:lang w:val="en-US" w:eastAsia="zh-CN" w:bidi="ar"/>
              </w:rPr>
              <w:t>3</w:t>
            </w:r>
            <w:r>
              <w:rPr>
                <w:rFonts w:hint="eastAsia" w:ascii="Times New Roman" w:hAnsi="Times New Roman" w:eastAsia="宋体" w:cs="宋体"/>
                <w:i w:val="0"/>
                <w:iCs w:val="0"/>
                <w:color w:val="000000"/>
                <w:kern w:val="0"/>
                <w:sz w:val="21"/>
                <w:szCs w:val="21"/>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80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ightChars="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饮料及冷饮服务</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cs="宋体"/>
                <w:i w:val="0"/>
                <w:iCs w:val="0"/>
                <w:color w:val="000000"/>
                <w:kern w:val="0"/>
                <w:sz w:val="21"/>
                <w:szCs w:val="21"/>
                <w:u w:val="none"/>
                <w:lang w:val="en-US" w:eastAsia="zh-CN" w:bidi="ar"/>
              </w:rPr>
              <w:t>0.</w:t>
            </w:r>
            <w:r>
              <w:rPr>
                <w:rFonts w:hint="eastAsia" w:ascii="Times New Roman" w:hAnsi="Times New Roman" w:eastAsia="宋体" w:cs="宋体"/>
                <w:i w:val="0"/>
                <w:iCs w:val="0"/>
                <w:color w:val="000000"/>
                <w:kern w:val="0"/>
                <w:sz w:val="21"/>
                <w:szCs w:val="21"/>
                <w:u w:val="none"/>
                <w:lang w:val="en-US" w:eastAsia="zh-CN" w:bidi="ar"/>
              </w:rPr>
              <w:t>4</w:t>
            </w:r>
            <w:r>
              <w:rPr>
                <w:rFonts w:hint="eastAsia" w:ascii="Times New Roman" w:hAnsi="Times New Roman" w:cs="宋体"/>
                <w:i w:val="0"/>
                <w:iCs w:val="0"/>
                <w:color w:val="000000"/>
                <w:kern w:val="0"/>
                <w:sz w:val="21"/>
                <w:szCs w:val="21"/>
                <w:u w:val="none"/>
                <w:lang w:val="en-US" w:eastAsia="zh-CN" w:bidi="ar"/>
              </w:rPr>
              <w:t>5</w:t>
            </w:r>
            <w:r>
              <w:rPr>
                <w:rFonts w:hint="eastAsia" w:ascii="Times New Roman" w:hAnsi="Times New Roman" w:eastAsia="宋体" w:cs="宋体"/>
                <w:i w:val="0"/>
                <w:iCs w:val="0"/>
                <w:color w:val="000000"/>
                <w:kern w:val="0"/>
                <w:sz w:val="21"/>
                <w:szCs w:val="21"/>
                <w:u w:val="none"/>
                <w:lang w:val="en-US" w:eastAsia="zh-CN" w:bidi="ar"/>
              </w:rPr>
              <w:t xml:space="preserve"> </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cs="宋体"/>
                <w:i w:val="0"/>
                <w:iCs w:val="0"/>
                <w:color w:val="000000"/>
                <w:kern w:val="0"/>
                <w:sz w:val="21"/>
                <w:szCs w:val="21"/>
                <w:u w:val="none"/>
                <w:lang w:val="en-US" w:eastAsia="zh-CN" w:bidi="ar"/>
              </w:rPr>
              <w:t>0.</w:t>
            </w:r>
            <w:r>
              <w:rPr>
                <w:rFonts w:hint="eastAsia" w:ascii="Times New Roman" w:hAnsi="Times New Roman" w:eastAsia="宋体" w:cs="宋体"/>
                <w:i w:val="0"/>
                <w:iCs w:val="0"/>
                <w:color w:val="000000"/>
                <w:kern w:val="0"/>
                <w:sz w:val="21"/>
                <w:szCs w:val="21"/>
                <w:u w:val="none"/>
                <w:lang w:val="en-US" w:eastAsia="zh-CN" w:bidi="ar"/>
              </w:rPr>
              <w:t>4</w:t>
            </w:r>
            <w:r>
              <w:rPr>
                <w:rFonts w:hint="eastAsia" w:ascii="Times New Roman" w:hAnsi="Times New Roman" w:cs="宋体"/>
                <w:i w:val="0"/>
                <w:iCs w:val="0"/>
                <w:color w:val="000000"/>
                <w:kern w:val="0"/>
                <w:sz w:val="21"/>
                <w:szCs w:val="21"/>
                <w:u w:val="none"/>
                <w:lang w:val="en-US" w:eastAsia="zh-CN" w:bidi="ar"/>
              </w:rPr>
              <w:t>9</w:t>
            </w:r>
            <w:r>
              <w:rPr>
                <w:rFonts w:hint="eastAsia" w:ascii="Times New Roman" w:hAnsi="Times New Roman" w:eastAsia="宋体" w:cs="宋体"/>
                <w:i w:val="0"/>
                <w:iCs w:val="0"/>
                <w:color w:val="000000"/>
                <w:kern w:val="0"/>
                <w:sz w:val="21"/>
                <w:szCs w:val="21"/>
                <w:u w:val="none"/>
                <w:lang w:val="en-US" w:eastAsia="zh-CN" w:bidi="ar"/>
              </w:rPr>
              <w:t xml:space="preserve"> </w:t>
            </w:r>
          </w:p>
        </w:tc>
        <w:tc>
          <w:tcPr>
            <w:tcW w:w="168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cs="宋体"/>
                <w:i w:val="0"/>
                <w:iCs w:val="0"/>
                <w:color w:val="000000"/>
                <w:kern w:val="0"/>
                <w:sz w:val="21"/>
                <w:szCs w:val="21"/>
                <w:u w:val="none"/>
                <w:lang w:val="en-US" w:eastAsia="zh-CN" w:bidi="ar"/>
              </w:rPr>
              <w:t>0.</w:t>
            </w:r>
            <w:r>
              <w:rPr>
                <w:rFonts w:hint="eastAsia" w:ascii="Times New Roman" w:hAnsi="Times New Roman" w:eastAsia="宋体" w:cs="宋体"/>
                <w:i w:val="0"/>
                <w:iCs w:val="0"/>
                <w:color w:val="000000"/>
                <w:kern w:val="0"/>
                <w:sz w:val="21"/>
                <w:szCs w:val="21"/>
                <w:u w:val="none"/>
                <w:lang w:val="en-US" w:eastAsia="zh-CN" w:bidi="ar"/>
              </w:rPr>
              <w:t xml:space="preserve">96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80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ightChars="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餐饮配送及外卖送餐服务</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cs="宋体"/>
                <w:i w:val="0"/>
                <w:iCs w:val="0"/>
                <w:color w:val="000000"/>
                <w:kern w:val="0"/>
                <w:sz w:val="21"/>
                <w:szCs w:val="21"/>
                <w:u w:val="none"/>
                <w:lang w:val="en-US" w:eastAsia="zh-CN" w:bidi="ar"/>
              </w:rPr>
              <w:t>0.</w:t>
            </w:r>
            <w:r>
              <w:rPr>
                <w:rFonts w:hint="eastAsia" w:ascii="Times New Roman" w:hAnsi="Times New Roman" w:eastAsia="宋体" w:cs="宋体"/>
                <w:i w:val="0"/>
                <w:iCs w:val="0"/>
                <w:color w:val="000000"/>
                <w:kern w:val="0"/>
                <w:sz w:val="21"/>
                <w:szCs w:val="21"/>
                <w:u w:val="none"/>
                <w:lang w:val="en-US" w:eastAsia="zh-CN" w:bidi="ar"/>
              </w:rPr>
              <w:t xml:space="preserve">94 </w:t>
            </w:r>
          </w:p>
        </w:tc>
        <w:tc>
          <w:tcPr>
            <w:tcW w:w="1679"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cs="宋体"/>
                <w:i w:val="0"/>
                <w:iCs w:val="0"/>
                <w:color w:val="000000"/>
                <w:kern w:val="0"/>
                <w:sz w:val="21"/>
                <w:szCs w:val="21"/>
                <w:u w:val="none"/>
                <w:lang w:val="en-US" w:eastAsia="zh-CN" w:bidi="ar"/>
              </w:rPr>
              <w:t>0.</w:t>
            </w:r>
            <w:r>
              <w:rPr>
                <w:rFonts w:hint="eastAsia" w:ascii="Times New Roman" w:hAnsi="Times New Roman" w:eastAsia="宋体" w:cs="宋体"/>
                <w:i w:val="0"/>
                <w:iCs w:val="0"/>
                <w:color w:val="000000"/>
                <w:kern w:val="0"/>
                <w:sz w:val="21"/>
                <w:szCs w:val="21"/>
                <w:u w:val="none"/>
                <w:lang w:val="en-US" w:eastAsia="zh-CN" w:bidi="ar"/>
              </w:rPr>
              <w:t xml:space="preserve">60 </w:t>
            </w:r>
          </w:p>
        </w:tc>
        <w:tc>
          <w:tcPr>
            <w:tcW w:w="168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5</w:t>
            </w:r>
            <w:r>
              <w:rPr>
                <w:rFonts w:hint="eastAsia" w:ascii="Times New Roman" w:hAnsi="Times New Roman" w:cs="宋体"/>
                <w:i w:val="0"/>
                <w:iCs w:val="0"/>
                <w:color w:val="000000"/>
                <w:kern w:val="0"/>
                <w:sz w:val="21"/>
                <w:szCs w:val="21"/>
                <w:u w:val="none"/>
                <w:lang w:val="en-US" w:eastAsia="zh-CN" w:bidi="ar"/>
              </w:rPr>
              <w:t>1</w:t>
            </w:r>
            <w:r>
              <w:rPr>
                <w:rFonts w:hint="eastAsia" w:ascii="Times New Roman" w:hAnsi="Times New Roman" w:eastAsia="宋体" w:cs="宋体"/>
                <w:i w:val="0"/>
                <w:iCs w:val="0"/>
                <w:color w:val="000000"/>
                <w:kern w:val="0"/>
                <w:sz w:val="21"/>
                <w:szCs w:val="21"/>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800" w:type="dxa"/>
            <w:tcBorders>
              <w:bottom w:val="single" w:color="auto" w:sz="12"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ightChars="0" w:firstLine="420" w:firstLineChars="20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其他餐饮业</w:t>
            </w:r>
          </w:p>
        </w:tc>
        <w:tc>
          <w:tcPr>
            <w:tcW w:w="1679" w:type="dxa"/>
            <w:tcBorders>
              <w:bottom w:val="single" w:color="auto" w:sz="12" w:space="0"/>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 xml:space="preserve">93 </w:t>
            </w:r>
          </w:p>
        </w:tc>
        <w:tc>
          <w:tcPr>
            <w:tcW w:w="1679" w:type="dxa"/>
            <w:tcBorders>
              <w:bottom w:val="single" w:color="auto" w:sz="12" w:space="0"/>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 xml:space="preserve">67 </w:t>
            </w:r>
          </w:p>
        </w:tc>
        <w:tc>
          <w:tcPr>
            <w:tcW w:w="1681" w:type="dxa"/>
            <w:tcBorders>
              <w:bottom w:val="single" w:color="auto" w:sz="12" w:space="0"/>
            </w:tcBorders>
            <w:vAlign w:val="center"/>
          </w:tcPr>
          <w:p>
            <w:pPr>
              <w:keepNext w:val="0"/>
              <w:keepLines w:val="0"/>
              <w:widowControl/>
              <w:suppressLineNumbers w:val="0"/>
              <w:spacing w:line="240" w:lineRule="auto"/>
              <w:ind w:left="0"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w:t>
            </w:r>
            <w:r>
              <w:rPr>
                <w:rFonts w:hint="eastAsia" w:ascii="Times New Roman" w:hAnsi="Times New Roman" w:cs="宋体"/>
                <w:i w:val="0"/>
                <w:iCs w:val="0"/>
                <w:color w:val="000000"/>
                <w:kern w:val="0"/>
                <w:sz w:val="21"/>
                <w:szCs w:val="21"/>
                <w:u w:val="none"/>
                <w:lang w:val="en-US" w:eastAsia="zh-CN" w:bidi="ar"/>
              </w:rPr>
              <w:t>.</w:t>
            </w:r>
            <w:r>
              <w:rPr>
                <w:rFonts w:hint="eastAsia" w:ascii="Times New Roman" w:hAnsi="Times New Roman" w:eastAsia="宋体" w:cs="宋体"/>
                <w:i w:val="0"/>
                <w:iCs w:val="0"/>
                <w:color w:val="000000"/>
                <w:kern w:val="0"/>
                <w:sz w:val="21"/>
                <w:szCs w:val="21"/>
                <w:u w:val="none"/>
                <w:lang w:val="en-US" w:eastAsia="zh-CN" w:bidi="ar"/>
              </w:rPr>
              <w:t xml:space="preserve">21 </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黑体" w:hAnsi="黑体" w:eastAsia="黑体" w:cs="黑体"/>
          <w:i w:val="0"/>
          <w:caps w:val="0"/>
          <w:color w:val="0C0C0C"/>
          <w:spacing w:val="0"/>
          <w:sz w:val="32"/>
          <w:szCs w:val="32"/>
          <w:highlight w:val="none"/>
        </w:rPr>
      </w:pPr>
      <w:r>
        <w:rPr>
          <w:rFonts w:hint="eastAsia" w:ascii="黑体" w:hAnsi="黑体" w:eastAsia="黑体" w:cs="黑体"/>
          <w:b w:val="0"/>
          <w:bCs/>
          <w:i w:val="0"/>
          <w:caps w:val="0"/>
          <w:color w:val="0C0C0C"/>
          <w:spacing w:val="0"/>
          <w:kern w:val="0"/>
          <w:sz w:val="32"/>
          <w:szCs w:val="32"/>
          <w:highlight w:val="none"/>
          <w:lang w:val="en-US" w:eastAsia="zh-CN" w:bidi="ar"/>
        </w:rPr>
        <w:t>四、信息传输、软件和信息技术服务业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楷体_GB2312" w:hAnsi="楷体_GB2312" w:eastAsia="楷体_GB2312" w:cs="楷体_GB2312"/>
          <w:i w:val="0"/>
          <w:caps w:val="0"/>
          <w:color w:val="0C0C0C"/>
          <w:spacing w:val="0"/>
          <w:kern w:val="0"/>
          <w:sz w:val="32"/>
          <w:szCs w:val="32"/>
          <w:highlight w:val="none"/>
          <w:lang w:val="en-US" w:eastAsia="zh-CN" w:bidi="ar"/>
        </w:rPr>
      </w:pPr>
      <w:r>
        <w:rPr>
          <w:rFonts w:hint="eastAsia" w:ascii="楷体_GB2312" w:hAnsi="楷体_GB2312" w:eastAsia="楷体_GB2312" w:cs="楷体_GB2312"/>
          <w:i w:val="0"/>
          <w:caps w:val="0"/>
          <w:color w:val="0C0C0C"/>
          <w:spacing w:val="0"/>
          <w:kern w:val="0"/>
          <w:sz w:val="32"/>
          <w:szCs w:val="32"/>
          <w:highlight w:val="none"/>
          <w:lang w:val="en-US" w:eastAsia="zh-CN" w:bidi="ar"/>
        </w:rPr>
        <w:t>（一）企业法人单位数和从业人员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color w:val="0C0C0C"/>
          <w:spacing w:val="-6"/>
          <w:kern w:val="2"/>
          <w:sz w:val="32"/>
          <w:szCs w:val="32"/>
          <w:u w:val="none"/>
          <w:lang w:val="en-US" w:eastAsia="zh-CN" w:bidi="ar-SA"/>
        </w:rPr>
        <w:t>2023年末，全区共有信息传输、软件和信息技术服务业企业法人单位</w:t>
      </w:r>
      <w:r>
        <w:rPr>
          <w:rFonts w:hint="eastAsia" w:ascii="Times New Roman" w:hAnsi="Times New Roman" w:eastAsia="仿宋_GB2312" w:cs="仿宋_GB2312"/>
          <w:color w:val="0C0C0C"/>
          <w:sz w:val="32"/>
          <w:szCs w:val="32"/>
          <w:u w:val="none"/>
          <w:lang w:val="en-US" w:eastAsia="zh-CN"/>
        </w:rPr>
        <w:t>2290</w:t>
      </w:r>
      <w:r>
        <w:rPr>
          <w:rFonts w:hint="eastAsia" w:ascii="Times New Roman" w:hAnsi="Times New Roman" w:eastAsia="仿宋_GB2312" w:cs="仿宋_GB2312"/>
          <w:color w:val="0C0C0C"/>
          <w:spacing w:val="-6"/>
          <w:kern w:val="2"/>
          <w:sz w:val="32"/>
          <w:szCs w:val="32"/>
          <w:u w:val="none"/>
          <w:lang w:val="en-US" w:eastAsia="zh-CN" w:bidi="ar-SA"/>
        </w:rPr>
        <w:t>个，从业人员0.</w:t>
      </w:r>
      <w:r>
        <w:rPr>
          <w:rFonts w:hint="eastAsia" w:ascii="Times New Roman" w:hAnsi="Times New Roman" w:eastAsia="仿宋_GB2312" w:cs="仿宋_GB2312"/>
          <w:color w:val="0C0C0C"/>
          <w:sz w:val="32"/>
          <w:szCs w:val="32"/>
          <w:u w:val="none"/>
          <w:lang w:val="en-US" w:eastAsia="zh-CN"/>
        </w:rPr>
        <w:t>77万</w:t>
      </w:r>
      <w:r>
        <w:rPr>
          <w:rFonts w:hint="eastAsia" w:ascii="Times New Roman" w:hAnsi="Times New Roman" w:eastAsia="仿宋_GB2312" w:cs="仿宋_GB2312"/>
          <w:color w:val="0C0C0C"/>
          <w:spacing w:val="-6"/>
          <w:kern w:val="2"/>
          <w:sz w:val="32"/>
          <w:szCs w:val="32"/>
          <w:u w:val="none"/>
          <w:lang w:val="en-US" w:eastAsia="zh-CN" w:bidi="ar-SA"/>
        </w:rPr>
        <w:t>人，分别比2018年末增长</w:t>
      </w:r>
      <w:r>
        <w:rPr>
          <w:rFonts w:hint="eastAsia" w:ascii="Times New Roman" w:hAnsi="Times New Roman" w:eastAsia="仿宋_GB2312" w:cs="仿宋_GB2312"/>
          <w:color w:val="0C0C0C"/>
          <w:sz w:val="32"/>
          <w:szCs w:val="32"/>
          <w:u w:val="none"/>
          <w:lang w:val="en-US" w:eastAsia="zh-CN"/>
        </w:rPr>
        <w:t>1.2倍</w:t>
      </w:r>
      <w:r>
        <w:rPr>
          <w:rFonts w:hint="eastAsia" w:ascii="Times New Roman" w:hAnsi="Times New Roman" w:eastAsia="仿宋_GB2312" w:cs="仿宋_GB2312"/>
          <w:color w:val="0C0C0C"/>
          <w:spacing w:val="-6"/>
          <w:kern w:val="2"/>
          <w:sz w:val="32"/>
          <w:szCs w:val="32"/>
          <w:u w:val="none"/>
          <w:lang w:val="en-US" w:eastAsia="zh-CN" w:bidi="ar-SA"/>
        </w:rPr>
        <w:t>和</w:t>
      </w:r>
      <w:r>
        <w:rPr>
          <w:rFonts w:hint="eastAsia" w:ascii="Times New Roman" w:hAnsi="Times New Roman" w:eastAsia="仿宋_GB2312" w:cs="仿宋_GB2312"/>
          <w:color w:val="0C0C0C"/>
          <w:sz w:val="32"/>
          <w:szCs w:val="32"/>
          <w:u w:val="none"/>
          <w:lang w:val="en-US" w:eastAsia="zh-CN"/>
        </w:rPr>
        <w:t>1.1倍</w:t>
      </w:r>
      <w:r>
        <w:rPr>
          <w:rFonts w:hint="eastAsia" w:ascii="Times New Roman" w:hAnsi="Times New Roman" w:eastAsia="仿宋_GB2312" w:cs="仿宋_GB2312"/>
          <w:color w:val="0C0C0C"/>
          <w:spacing w:val="-6"/>
          <w:kern w:val="2"/>
          <w:sz w:val="32"/>
          <w:szCs w:val="32"/>
          <w:u w:val="none"/>
          <w:lang w:val="en-US" w:eastAsia="zh-CN" w:bidi="ar-SA"/>
        </w:rPr>
        <w:t>（详见表4-10）。</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表4-10　按行业大类分组的信息传输、软件和信息技术服务业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企业法人单位数和从业人员</w:t>
      </w:r>
    </w:p>
    <w:tbl>
      <w:tblPr>
        <w:tblStyle w:val="11"/>
        <w:tblW w:w="8732"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3878"/>
        <w:gridCol w:w="2427"/>
        <w:gridCol w:w="2427"/>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3" w:hRule="atLeast"/>
          <w:jc w:val="center"/>
        </w:trPr>
        <w:tc>
          <w:tcPr>
            <w:tcW w:w="3878" w:type="dxa"/>
            <w:tcBorders>
              <w:top w:val="single" w:color="auto" w:sz="12" w:space="0"/>
              <w:left w:val="nil"/>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480" w:firstLineChars="0"/>
              <w:jc w:val="center"/>
              <w:textAlignment w:val="auto"/>
              <w:rPr>
                <w:rFonts w:hint="eastAsia" w:ascii="Times New Roman" w:hAnsi="Times New Roman" w:eastAsia="宋体" w:cs="宋体"/>
                <w:color w:val="0C0C0C"/>
                <w:sz w:val="21"/>
                <w:szCs w:val="21"/>
                <w:highlight w:val="none"/>
              </w:rPr>
            </w:pPr>
          </w:p>
        </w:tc>
        <w:tc>
          <w:tcPr>
            <w:tcW w:w="2427"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企业法人单位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（个）</w:t>
            </w:r>
          </w:p>
        </w:tc>
        <w:tc>
          <w:tcPr>
            <w:tcW w:w="2427" w:type="dxa"/>
            <w:tcBorders>
              <w:top w:val="single" w:color="auto" w:sz="12" w:space="0"/>
              <w:left w:val="single" w:color="auto" w:sz="4" w:space="0"/>
              <w:bottom w:val="single" w:color="auto" w:sz="4"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78" w:type="dxa"/>
            <w:tcBorders>
              <w:top w:val="single" w:color="auto" w:sz="4" w:space="0"/>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2427"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2290</w:t>
            </w:r>
          </w:p>
        </w:tc>
        <w:tc>
          <w:tcPr>
            <w:tcW w:w="2427" w:type="dxa"/>
            <w:tcBorders>
              <w:top w:val="single" w:color="auto" w:sz="4" w:space="0"/>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7693</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78"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电信、广播电视和卫星传输服务</w:t>
            </w:r>
          </w:p>
        </w:tc>
        <w:tc>
          <w:tcPr>
            <w:tcW w:w="242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96</w:t>
            </w:r>
          </w:p>
        </w:tc>
        <w:tc>
          <w:tcPr>
            <w:tcW w:w="242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380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78"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互联网和相关服务</w:t>
            </w:r>
          </w:p>
        </w:tc>
        <w:tc>
          <w:tcPr>
            <w:tcW w:w="2427"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362</w:t>
            </w:r>
          </w:p>
        </w:tc>
        <w:tc>
          <w:tcPr>
            <w:tcW w:w="2427"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1072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78" w:type="dxa"/>
            <w:tcBorders>
              <w:top w:val="nil"/>
              <w:left w:val="nil"/>
              <w:bottom w:val="single" w:color="auto" w:sz="12"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软件和信息技术服务业</w:t>
            </w:r>
          </w:p>
        </w:tc>
        <w:tc>
          <w:tcPr>
            <w:tcW w:w="2427"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1832</w:t>
            </w:r>
          </w:p>
        </w:tc>
        <w:tc>
          <w:tcPr>
            <w:tcW w:w="2427" w:type="dxa"/>
            <w:tcBorders>
              <w:top w:val="nil"/>
              <w:left w:val="single" w:color="auto" w:sz="4" w:space="0"/>
              <w:bottom w:val="single" w:color="auto" w:sz="12" w:space="0"/>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6241</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在信息传输、软件和信息技术服务业企业法人单位中，内资企业占</w:t>
      </w:r>
      <w:r>
        <w:rPr>
          <w:rFonts w:hint="eastAsia" w:ascii="Times New Roman" w:hAnsi="Times New Roman" w:eastAsia="仿宋_GB2312" w:cs="仿宋_GB2312"/>
          <w:color w:val="0C0C0C"/>
          <w:sz w:val="32"/>
          <w:szCs w:val="32"/>
          <w:u w:val="none"/>
          <w:lang w:val="en-US" w:eastAsia="zh-CN"/>
        </w:rPr>
        <w:t>99.0</w:t>
      </w:r>
      <w:r>
        <w:rPr>
          <w:rFonts w:hint="eastAsia" w:ascii="Times New Roman" w:hAnsi="Times New Roman" w:eastAsia="仿宋_GB2312" w:cs="仿宋_GB2312"/>
          <w:color w:val="0C0C0C"/>
          <w:spacing w:val="-6"/>
          <w:kern w:val="2"/>
          <w:sz w:val="32"/>
          <w:szCs w:val="32"/>
          <w:u w:val="none"/>
          <w:lang w:val="en-US" w:eastAsia="zh-CN" w:bidi="ar-SA"/>
        </w:rPr>
        <w:t>%，港澳台投资企业占</w:t>
      </w:r>
      <w:r>
        <w:rPr>
          <w:rFonts w:hint="eastAsia" w:ascii="Times New Roman" w:hAnsi="Times New Roman" w:eastAsia="仿宋_GB2312" w:cs="仿宋_GB2312"/>
          <w:color w:val="0C0C0C"/>
          <w:sz w:val="32"/>
          <w:szCs w:val="32"/>
          <w:u w:val="none"/>
          <w:lang w:val="en-US" w:eastAsia="zh-CN"/>
        </w:rPr>
        <w:t>0.8</w:t>
      </w:r>
      <w:r>
        <w:rPr>
          <w:rFonts w:hint="eastAsia" w:ascii="Times New Roman" w:hAnsi="Times New Roman" w:eastAsia="仿宋_GB2312" w:cs="仿宋_GB2312"/>
          <w:color w:val="0C0C0C"/>
          <w:spacing w:val="-6"/>
          <w:kern w:val="2"/>
          <w:sz w:val="32"/>
          <w:szCs w:val="32"/>
          <w:u w:val="none"/>
          <w:lang w:val="en-US" w:eastAsia="zh-CN" w:bidi="ar-SA"/>
        </w:rPr>
        <w:t>%，外商投资企业占</w:t>
      </w:r>
      <w:r>
        <w:rPr>
          <w:rFonts w:hint="eastAsia" w:ascii="Times New Roman" w:hAnsi="Times New Roman" w:eastAsia="仿宋_GB2312" w:cs="仿宋_GB2312"/>
          <w:color w:val="0C0C0C"/>
          <w:sz w:val="32"/>
          <w:szCs w:val="32"/>
          <w:u w:val="none"/>
          <w:lang w:val="en-US" w:eastAsia="zh-CN"/>
        </w:rPr>
        <w:t>0.3</w:t>
      </w:r>
      <w:r>
        <w:rPr>
          <w:rFonts w:hint="eastAsia" w:ascii="Times New Roman" w:hAnsi="Times New Roman" w:eastAsia="仿宋_GB2312" w:cs="仿宋_GB2312"/>
          <w:color w:val="0C0C0C"/>
          <w:spacing w:val="-6"/>
          <w:kern w:val="2"/>
          <w:sz w:val="32"/>
          <w:szCs w:val="32"/>
          <w:u w:val="none"/>
          <w:lang w:val="en-US" w:eastAsia="zh-CN" w:bidi="ar-SA"/>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color w:val="0C0C0C"/>
          <w:spacing w:val="-6"/>
          <w:kern w:val="2"/>
          <w:sz w:val="32"/>
          <w:szCs w:val="32"/>
          <w:u w:val="none"/>
          <w:lang w:val="en-US" w:eastAsia="zh-CN" w:bidi="ar-SA"/>
        </w:rPr>
        <w:t>在信息传输、软件和信息技术服务业企业法人单位从业人员中，内资企业占</w:t>
      </w:r>
      <w:r>
        <w:rPr>
          <w:rFonts w:hint="eastAsia" w:ascii="Times New Roman" w:hAnsi="Times New Roman" w:eastAsia="仿宋_GB2312" w:cs="仿宋_GB2312"/>
          <w:color w:val="0C0C0C"/>
          <w:sz w:val="32"/>
          <w:szCs w:val="32"/>
          <w:u w:val="none"/>
          <w:lang w:val="en-US" w:eastAsia="zh-CN"/>
        </w:rPr>
        <w:t>98.8</w:t>
      </w:r>
      <w:r>
        <w:rPr>
          <w:rFonts w:hint="eastAsia" w:ascii="Times New Roman" w:hAnsi="Times New Roman" w:eastAsia="仿宋_GB2312" w:cs="仿宋_GB2312"/>
          <w:color w:val="0C0C0C"/>
          <w:spacing w:val="-6"/>
          <w:kern w:val="2"/>
          <w:sz w:val="32"/>
          <w:szCs w:val="32"/>
          <w:u w:val="none"/>
          <w:lang w:val="en-US" w:eastAsia="zh-CN" w:bidi="ar-SA"/>
        </w:rPr>
        <w:t>%，港澳台投资企业占</w:t>
      </w:r>
      <w:r>
        <w:rPr>
          <w:rFonts w:hint="eastAsia" w:ascii="Times New Roman" w:hAnsi="Times New Roman" w:eastAsia="仿宋_GB2312" w:cs="仿宋_GB2312"/>
          <w:color w:val="0C0C0C"/>
          <w:sz w:val="32"/>
          <w:szCs w:val="32"/>
          <w:u w:val="none"/>
          <w:lang w:val="en-US" w:eastAsia="zh-CN"/>
        </w:rPr>
        <w:t>1.0</w:t>
      </w:r>
      <w:r>
        <w:rPr>
          <w:rFonts w:hint="eastAsia" w:ascii="Times New Roman" w:hAnsi="Times New Roman" w:eastAsia="仿宋_GB2312" w:cs="仿宋_GB2312"/>
          <w:color w:val="0C0C0C"/>
          <w:spacing w:val="-6"/>
          <w:kern w:val="2"/>
          <w:sz w:val="32"/>
          <w:szCs w:val="32"/>
          <w:u w:val="none"/>
          <w:lang w:val="en-US" w:eastAsia="zh-CN" w:bidi="ar-SA"/>
        </w:rPr>
        <w:t>%，外商投资企业占</w:t>
      </w:r>
      <w:r>
        <w:rPr>
          <w:rFonts w:hint="eastAsia" w:ascii="Times New Roman" w:hAnsi="Times New Roman" w:eastAsia="仿宋_GB2312" w:cs="仿宋_GB2312"/>
          <w:color w:val="0C0C0C"/>
          <w:sz w:val="32"/>
          <w:szCs w:val="32"/>
          <w:u w:val="none"/>
          <w:lang w:val="en-US" w:eastAsia="zh-CN"/>
        </w:rPr>
        <w:t>0.2</w:t>
      </w:r>
      <w:r>
        <w:rPr>
          <w:rFonts w:hint="eastAsia" w:ascii="Times New Roman" w:hAnsi="Times New Roman" w:eastAsia="仿宋_GB2312" w:cs="仿宋_GB2312"/>
          <w:color w:val="0C0C0C"/>
          <w:spacing w:val="-6"/>
          <w:kern w:val="2"/>
          <w:sz w:val="32"/>
          <w:szCs w:val="32"/>
          <w:u w:val="none"/>
          <w:lang w:val="en-US" w:eastAsia="zh-CN" w:bidi="ar-SA"/>
        </w:rPr>
        <w:t>%（详见表4-11）。</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79" w:beforeLines="3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表4-11　按登记注册统计类别分组的信息传输、软件和信息技术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79" w:beforeLines="3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服务业企业法人单位数和从业人员</w:t>
      </w:r>
    </w:p>
    <w:tbl>
      <w:tblPr>
        <w:tblStyle w:val="11"/>
        <w:tblW w:w="8834"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3890"/>
        <w:gridCol w:w="2472"/>
        <w:gridCol w:w="2472"/>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3" w:hRule="atLeast"/>
          <w:jc w:val="center"/>
        </w:trPr>
        <w:tc>
          <w:tcPr>
            <w:tcW w:w="3890" w:type="dxa"/>
            <w:tcBorders>
              <w:top w:val="single" w:color="auto" w:sz="12" w:space="0"/>
              <w:left w:val="nil"/>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eastAsia" w:ascii="Times New Roman" w:hAnsi="Times New Roman" w:eastAsia="宋体" w:cs="宋体"/>
                <w:color w:val="0C0C0C"/>
                <w:sz w:val="21"/>
                <w:szCs w:val="21"/>
                <w:highlight w:val="none"/>
              </w:rPr>
            </w:pPr>
          </w:p>
        </w:tc>
        <w:tc>
          <w:tcPr>
            <w:tcW w:w="2472"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企业法人单位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（个）</w:t>
            </w:r>
          </w:p>
        </w:tc>
        <w:tc>
          <w:tcPr>
            <w:tcW w:w="2472" w:type="dxa"/>
            <w:tcBorders>
              <w:top w:val="single" w:color="auto" w:sz="12" w:space="0"/>
              <w:left w:val="single" w:color="auto" w:sz="4" w:space="0"/>
              <w:bottom w:val="single" w:color="auto" w:sz="4"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0" w:type="dxa"/>
            <w:tcBorders>
              <w:top w:val="single" w:color="auto" w:sz="4" w:space="0"/>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2472"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2290</w:t>
            </w:r>
          </w:p>
        </w:tc>
        <w:tc>
          <w:tcPr>
            <w:tcW w:w="2472" w:type="dxa"/>
            <w:tcBorders>
              <w:top w:val="single" w:color="auto" w:sz="4" w:space="0"/>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宋体"/>
                <w:b/>
                <w:bCs/>
                <w:color w:val="0C0C0C"/>
                <w:kern w:val="2"/>
                <w:sz w:val="21"/>
                <w:szCs w:val="21"/>
                <w:highlight w:val="none"/>
                <w:lang w:val="en-US" w:eastAsia="zh-CN" w:bidi="ar-SA"/>
              </w:rPr>
            </w:pPr>
            <w:r>
              <w:rPr>
                <w:rFonts w:hint="eastAsia" w:ascii="Times New Roman" w:hAnsi="Times New Roman" w:eastAsia="宋体" w:cs="宋体"/>
                <w:b/>
                <w:bCs/>
                <w:i w:val="0"/>
                <w:iCs w:val="0"/>
                <w:color w:val="000000"/>
                <w:kern w:val="0"/>
                <w:sz w:val="21"/>
                <w:szCs w:val="21"/>
                <w:u w:val="none"/>
                <w:lang w:val="en-US" w:eastAsia="zh-CN" w:bidi="ar"/>
              </w:rPr>
              <w:t>7693</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sz w:val="21"/>
                <w:szCs w:val="21"/>
                <w:highlight w:val="none"/>
              </w:rPr>
            </w:pPr>
            <w:r>
              <w:rPr>
                <w:rFonts w:hint="eastAsia" w:ascii="Times New Roman" w:hAnsi="Times New Roman" w:eastAsia="宋体" w:cs="宋体"/>
                <w:b w:val="0"/>
                <w:bCs/>
                <w:color w:val="0C0C0C"/>
                <w:kern w:val="0"/>
                <w:sz w:val="21"/>
                <w:szCs w:val="21"/>
                <w:highlight w:val="none"/>
                <w:lang w:val="en-US" w:eastAsia="zh-CN" w:bidi="ar"/>
              </w:rPr>
              <w:t>内资企业</w:t>
            </w:r>
          </w:p>
        </w:tc>
        <w:tc>
          <w:tcPr>
            <w:tcW w:w="2472"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2266</w:t>
            </w:r>
          </w:p>
        </w:tc>
        <w:tc>
          <w:tcPr>
            <w:tcW w:w="2472"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7601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PrEx>
        <w:trPr>
          <w:trHeight w:val="340" w:hRule="exact"/>
          <w:jc w:val="center"/>
        </w:trPr>
        <w:tc>
          <w:tcPr>
            <w:tcW w:w="389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sz w:val="21"/>
                <w:szCs w:val="21"/>
                <w:highlight w:val="none"/>
              </w:rPr>
            </w:pPr>
            <w:r>
              <w:rPr>
                <w:rFonts w:hint="eastAsia" w:ascii="Times New Roman" w:hAnsi="Times New Roman" w:eastAsia="宋体" w:cs="宋体"/>
                <w:b w:val="0"/>
                <w:bCs/>
                <w:color w:val="0C0C0C"/>
                <w:kern w:val="0"/>
                <w:sz w:val="21"/>
                <w:szCs w:val="21"/>
                <w:highlight w:val="none"/>
                <w:lang w:val="en" w:eastAsia="zh-CN" w:bidi="ar"/>
              </w:rPr>
              <w:t>港澳台</w:t>
            </w:r>
            <w:r>
              <w:rPr>
                <w:rFonts w:hint="eastAsia" w:ascii="Times New Roman" w:hAnsi="Times New Roman" w:eastAsia="宋体" w:cs="宋体"/>
                <w:b w:val="0"/>
                <w:bCs/>
                <w:color w:val="0C0C0C"/>
                <w:kern w:val="0"/>
                <w:sz w:val="21"/>
                <w:szCs w:val="21"/>
                <w:highlight w:val="none"/>
                <w:lang w:val="en-US" w:eastAsia="zh-CN" w:bidi="ar"/>
              </w:rPr>
              <w:t>投资企业</w:t>
            </w:r>
          </w:p>
        </w:tc>
        <w:tc>
          <w:tcPr>
            <w:tcW w:w="2472"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18</w:t>
            </w:r>
          </w:p>
        </w:tc>
        <w:tc>
          <w:tcPr>
            <w:tcW w:w="2472"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78</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sz w:val="21"/>
                <w:szCs w:val="21"/>
                <w:highlight w:val="none"/>
              </w:rPr>
            </w:pPr>
            <w:r>
              <w:rPr>
                <w:rFonts w:hint="eastAsia" w:ascii="Times New Roman" w:hAnsi="Times New Roman" w:eastAsia="宋体" w:cs="宋体"/>
                <w:b w:val="0"/>
                <w:bCs/>
                <w:color w:val="0C0C0C"/>
                <w:kern w:val="0"/>
                <w:sz w:val="21"/>
                <w:szCs w:val="21"/>
                <w:highlight w:val="none"/>
                <w:lang w:val="en-US" w:eastAsia="zh-CN" w:bidi="ar"/>
              </w:rPr>
              <w:t>外商投资企业</w:t>
            </w:r>
          </w:p>
        </w:tc>
        <w:tc>
          <w:tcPr>
            <w:tcW w:w="2472"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6</w:t>
            </w:r>
          </w:p>
        </w:tc>
        <w:tc>
          <w:tcPr>
            <w:tcW w:w="2472"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14</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0" w:type="dxa"/>
            <w:tcBorders>
              <w:top w:val="nil"/>
              <w:left w:val="nil"/>
              <w:bottom w:val="single" w:color="auto" w:sz="12"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kern w:val="0"/>
                <w:sz w:val="21"/>
                <w:szCs w:val="21"/>
                <w:highlight w:val="none"/>
                <w:lang w:val="en-US" w:eastAsia="zh-CN" w:bidi="ar"/>
              </w:rPr>
            </w:pPr>
            <w:r>
              <w:rPr>
                <w:rFonts w:hint="eastAsia" w:ascii="Times New Roman" w:hAnsi="Times New Roman" w:eastAsia="宋体" w:cs="宋体"/>
                <w:b w:val="0"/>
                <w:bCs/>
                <w:color w:val="0C0C0C"/>
                <w:kern w:val="0"/>
                <w:sz w:val="21"/>
                <w:szCs w:val="21"/>
                <w:highlight w:val="none"/>
                <w:lang w:val="en-US" w:eastAsia="zh-CN" w:bidi="ar"/>
              </w:rPr>
              <w:t>其他统计类别</w:t>
            </w:r>
          </w:p>
        </w:tc>
        <w:tc>
          <w:tcPr>
            <w:tcW w:w="2472"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宋体"/>
                <w:i w:val="0"/>
                <w:iCs w:val="0"/>
                <w:color w:val="000000"/>
                <w:kern w:val="0"/>
                <w:sz w:val="21"/>
                <w:szCs w:val="21"/>
                <w:u w:val="none"/>
                <w:lang w:val="en-US" w:eastAsia="zh-CN" w:bidi="ar"/>
              </w:rPr>
            </w:pPr>
            <w:r>
              <w:rPr>
                <w:rFonts w:hint="default" w:ascii="Times New Roman" w:hAnsi="Times New Roman" w:eastAsia="宋体" w:cs="Times New Roman"/>
                <w:b w:val="0"/>
                <w:bCs w:val="0"/>
                <w:color w:val="0C0C0C"/>
                <w:kern w:val="2"/>
                <w:sz w:val="21"/>
                <w:szCs w:val="21"/>
                <w:highlight w:val="none"/>
                <w:lang w:val="en-US" w:eastAsia="zh-CN" w:bidi="ar-SA"/>
              </w:rPr>
              <w:t>—</w:t>
            </w:r>
          </w:p>
        </w:tc>
        <w:tc>
          <w:tcPr>
            <w:tcW w:w="2472" w:type="dxa"/>
            <w:tcBorders>
              <w:top w:val="nil"/>
              <w:left w:val="single" w:color="auto" w:sz="4" w:space="0"/>
              <w:bottom w:val="single" w:color="auto" w:sz="12" w:space="0"/>
              <w:right w:val="nil"/>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宋体"/>
                <w:i w:val="0"/>
                <w:iCs w:val="0"/>
                <w:color w:val="000000"/>
                <w:kern w:val="0"/>
                <w:sz w:val="21"/>
                <w:szCs w:val="21"/>
                <w:u w:val="none"/>
                <w:lang w:val="en-US" w:eastAsia="zh-CN" w:bidi="ar"/>
              </w:rPr>
            </w:pPr>
            <w:r>
              <w:rPr>
                <w:rFonts w:hint="default" w:ascii="Times New Roman" w:hAnsi="Times New Roman" w:eastAsia="宋体" w:cs="Times New Roman"/>
                <w:b w:val="0"/>
                <w:bCs w:val="0"/>
                <w:color w:val="0C0C0C"/>
                <w:kern w:val="2"/>
                <w:sz w:val="21"/>
                <w:szCs w:val="21"/>
                <w:highlight w:val="none"/>
                <w:lang w:val="en-US" w:eastAsia="zh-CN" w:bidi="ar-SA"/>
              </w:rPr>
              <w:t>—</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楷体_GB2312" w:hAnsi="楷体_GB2312" w:eastAsia="楷体_GB2312" w:cs="楷体_GB2312"/>
          <w:i w:val="0"/>
          <w:caps w:val="0"/>
          <w:color w:val="0C0C0C"/>
          <w:spacing w:val="0"/>
          <w:kern w:val="0"/>
          <w:sz w:val="32"/>
          <w:szCs w:val="32"/>
          <w:highlight w:val="none"/>
          <w:lang w:bidi="ar"/>
        </w:rPr>
      </w:pPr>
      <w:r>
        <w:rPr>
          <w:rFonts w:hint="eastAsia" w:ascii="楷体_GB2312" w:hAnsi="楷体_GB2312" w:eastAsia="楷体_GB2312" w:cs="楷体_GB2312"/>
          <w:i w:val="0"/>
          <w:caps w:val="0"/>
          <w:color w:val="0C0C0C"/>
          <w:spacing w:val="0"/>
          <w:kern w:val="0"/>
          <w:sz w:val="32"/>
          <w:szCs w:val="32"/>
          <w:highlight w:val="none"/>
          <w:lang w:val="en-US" w:eastAsia="zh-CN" w:bidi="ar"/>
        </w:rPr>
        <w:t>（二）主要经济指标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2023年末，信息传输、软件和信息技术服务业企业法人单位资产总计</w:t>
      </w:r>
      <w:r>
        <w:rPr>
          <w:rFonts w:hint="eastAsia" w:ascii="Times New Roman" w:hAnsi="Times New Roman" w:eastAsia="仿宋_GB2312" w:cs="仿宋_GB2312"/>
          <w:color w:val="0C0C0C"/>
          <w:sz w:val="32"/>
          <w:szCs w:val="32"/>
          <w:u w:val="none"/>
          <w:lang w:val="en-US" w:eastAsia="zh-CN"/>
        </w:rPr>
        <w:t>44.78</w:t>
      </w:r>
      <w:r>
        <w:rPr>
          <w:rFonts w:hint="eastAsia" w:ascii="Times New Roman" w:hAnsi="Times New Roman" w:eastAsia="仿宋_GB2312" w:cs="仿宋_GB2312"/>
          <w:color w:val="0C0C0C"/>
          <w:spacing w:val="-6"/>
          <w:kern w:val="2"/>
          <w:sz w:val="32"/>
          <w:szCs w:val="32"/>
          <w:u w:val="none"/>
          <w:lang w:val="en-US" w:eastAsia="zh-CN" w:bidi="ar-SA"/>
        </w:rPr>
        <w:t>亿元，比2018年末增长</w:t>
      </w:r>
      <w:r>
        <w:rPr>
          <w:rFonts w:hint="eastAsia" w:ascii="Times New Roman" w:hAnsi="Times New Roman" w:eastAsia="仿宋_GB2312" w:cs="仿宋_GB2312"/>
          <w:color w:val="0C0C0C"/>
          <w:sz w:val="32"/>
          <w:szCs w:val="32"/>
          <w:u w:val="none"/>
          <w:lang w:val="en-US" w:eastAsia="zh-CN"/>
        </w:rPr>
        <w:t>6.3倍</w:t>
      </w:r>
      <w:r>
        <w:rPr>
          <w:rFonts w:hint="eastAsia" w:ascii="Times New Roman" w:hAnsi="Times New Roman" w:eastAsia="仿宋_GB2312" w:cs="仿宋_GB2312"/>
          <w:color w:val="0C0C0C"/>
          <w:spacing w:val="-6"/>
          <w:kern w:val="2"/>
          <w:sz w:val="32"/>
          <w:szCs w:val="32"/>
          <w:u w:val="none"/>
          <w:lang w:val="en-US" w:eastAsia="zh-CN" w:bidi="ar-SA"/>
        </w:rPr>
        <w:t>；负债合计32.58亿元，比2018年末增长</w:t>
      </w:r>
      <w:r>
        <w:rPr>
          <w:rFonts w:hint="eastAsia" w:ascii="Times New Roman" w:hAnsi="Times New Roman" w:eastAsia="仿宋_GB2312" w:cs="仿宋_GB2312"/>
          <w:color w:val="0C0C0C"/>
          <w:sz w:val="32"/>
          <w:szCs w:val="32"/>
          <w:u w:val="none"/>
          <w:lang w:val="en-US" w:eastAsia="zh-CN"/>
        </w:rPr>
        <w:t>5.7倍</w:t>
      </w:r>
      <w:r>
        <w:rPr>
          <w:rFonts w:hint="eastAsia" w:ascii="Times New Roman" w:hAnsi="Times New Roman" w:eastAsia="仿宋_GB2312" w:cs="仿宋_GB2312"/>
          <w:color w:val="0C0C0C"/>
          <w:spacing w:val="-6"/>
          <w:kern w:val="2"/>
          <w:sz w:val="32"/>
          <w:szCs w:val="32"/>
          <w:u w:val="none"/>
          <w:lang w:val="en-US" w:eastAsia="zh-CN" w:bidi="ar-SA"/>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2023年，信息传输、软件和信息技术服务业企业法人单位全年实现营业收入</w:t>
      </w:r>
      <w:r>
        <w:rPr>
          <w:rFonts w:hint="eastAsia" w:ascii="Times New Roman" w:hAnsi="Times New Roman" w:eastAsia="仿宋_GB2312" w:cs="仿宋_GB2312"/>
          <w:color w:val="0C0C0C"/>
          <w:sz w:val="32"/>
          <w:szCs w:val="32"/>
          <w:u w:val="none"/>
          <w:lang w:val="en-US" w:eastAsia="zh-CN"/>
        </w:rPr>
        <w:t>22.79</w:t>
      </w:r>
      <w:r>
        <w:rPr>
          <w:rFonts w:hint="eastAsia" w:ascii="Times New Roman" w:hAnsi="Times New Roman" w:eastAsia="仿宋_GB2312" w:cs="仿宋_GB2312"/>
          <w:color w:val="0C0C0C"/>
          <w:spacing w:val="-6"/>
          <w:kern w:val="2"/>
          <w:sz w:val="32"/>
          <w:szCs w:val="32"/>
          <w:u w:val="none"/>
          <w:lang w:val="en-US" w:eastAsia="zh-CN" w:bidi="ar-SA"/>
        </w:rPr>
        <w:t>亿元，比2018年增长</w:t>
      </w:r>
      <w:r>
        <w:rPr>
          <w:rFonts w:hint="eastAsia" w:ascii="Times New Roman" w:hAnsi="Times New Roman" w:eastAsia="仿宋_GB2312" w:cs="仿宋_GB2312"/>
          <w:color w:val="0C0C0C"/>
          <w:sz w:val="32"/>
          <w:szCs w:val="32"/>
          <w:u w:val="none"/>
          <w:lang w:val="en-US" w:eastAsia="zh-CN"/>
        </w:rPr>
        <w:t>2.4倍</w:t>
      </w:r>
      <w:r>
        <w:rPr>
          <w:rFonts w:hint="eastAsia" w:ascii="Times New Roman" w:hAnsi="Times New Roman" w:eastAsia="仿宋_GB2312" w:cs="仿宋_GB2312"/>
          <w:color w:val="0C0C0C"/>
          <w:spacing w:val="-6"/>
          <w:kern w:val="2"/>
          <w:sz w:val="32"/>
          <w:szCs w:val="32"/>
          <w:u w:val="none"/>
          <w:lang w:val="en-US" w:eastAsia="zh-CN" w:bidi="ar-SA"/>
        </w:rPr>
        <w:t>（详见表4-12）。</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表4-12　按行业大类分组的信息传输、软件和信息技术服务业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企业法人单位主要经济指标</w:t>
      </w:r>
    </w:p>
    <w:tbl>
      <w:tblPr>
        <w:tblStyle w:val="11"/>
        <w:tblW w:w="8834"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4059"/>
        <w:gridCol w:w="1591"/>
        <w:gridCol w:w="1591"/>
        <w:gridCol w:w="1593"/>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3" w:hRule="atLeast"/>
          <w:jc w:val="center"/>
        </w:trPr>
        <w:tc>
          <w:tcPr>
            <w:tcW w:w="4059" w:type="dxa"/>
            <w:tcBorders>
              <w:top w:val="single" w:color="auto" w:sz="12" w:space="0"/>
              <w:left w:val="nil"/>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50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　</w:t>
            </w:r>
          </w:p>
        </w:tc>
        <w:tc>
          <w:tcPr>
            <w:tcW w:w="1591"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资产总计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（亿元）</w:t>
            </w:r>
          </w:p>
        </w:tc>
        <w:tc>
          <w:tcPr>
            <w:tcW w:w="1591"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负债合计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（亿元）</w:t>
            </w:r>
          </w:p>
        </w:tc>
        <w:tc>
          <w:tcPr>
            <w:tcW w:w="1593" w:type="dxa"/>
            <w:tcBorders>
              <w:top w:val="single" w:color="auto" w:sz="12" w:space="0"/>
              <w:left w:val="single" w:color="auto" w:sz="4" w:space="0"/>
              <w:bottom w:val="single" w:color="auto" w:sz="4"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营业收入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（亿元）</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059" w:type="dxa"/>
            <w:tcBorders>
              <w:top w:val="single" w:color="auto" w:sz="4" w:space="0"/>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1591"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 xml:space="preserve">44.78 </w:t>
            </w:r>
          </w:p>
        </w:tc>
        <w:tc>
          <w:tcPr>
            <w:tcW w:w="1591"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 xml:space="preserve">32.58 </w:t>
            </w:r>
          </w:p>
        </w:tc>
        <w:tc>
          <w:tcPr>
            <w:tcW w:w="1593" w:type="dxa"/>
            <w:tcBorders>
              <w:top w:val="single" w:color="auto" w:sz="4" w:space="0"/>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 xml:space="preserve">22.79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059"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电信、广播电视和卫星传输服务</w:t>
            </w:r>
          </w:p>
        </w:tc>
        <w:tc>
          <w:tcPr>
            <w:tcW w:w="159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1.21 </w:t>
            </w:r>
          </w:p>
        </w:tc>
        <w:tc>
          <w:tcPr>
            <w:tcW w:w="159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0.94 </w:t>
            </w:r>
          </w:p>
        </w:tc>
        <w:tc>
          <w:tcPr>
            <w:tcW w:w="159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1.28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059"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互联网和相关服务</w:t>
            </w:r>
          </w:p>
        </w:tc>
        <w:tc>
          <w:tcPr>
            <w:tcW w:w="159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2.95 </w:t>
            </w:r>
          </w:p>
        </w:tc>
        <w:tc>
          <w:tcPr>
            <w:tcW w:w="159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3.02 </w:t>
            </w:r>
          </w:p>
        </w:tc>
        <w:tc>
          <w:tcPr>
            <w:tcW w:w="159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3.02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059" w:type="dxa"/>
            <w:tcBorders>
              <w:top w:val="nil"/>
              <w:left w:val="nil"/>
              <w:bottom w:val="single" w:color="auto" w:sz="12"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软件和信息技术服务业</w:t>
            </w:r>
          </w:p>
        </w:tc>
        <w:tc>
          <w:tcPr>
            <w:tcW w:w="1591"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40.62 </w:t>
            </w:r>
          </w:p>
        </w:tc>
        <w:tc>
          <w:tcPr>
            <w:tcW w:w="1591"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28.62 </w:t>
            </w:r>
          </w:p>
        </w:tc>
        <w:tc>
          <w:tcPr>
            <w:tcW w:w="1593" w:type="dxa"/>
            <w:tcBorders>
              <w:top w:val="nil"/>
              <w:left w:val="single" w:color="auto" w:sz="4" w:space="0"/>
              <w:bottom w:val="single" w:color="auto" w:sz="12" w:space="0"/>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18.50 </w:t>
            </w:r>
          </w:p>
        </w:tc>
      </w:tr>
    </w:tbl>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黑体" w:hAnsi="黑体" w:eastAsia="黑体" w:cs="黑体"/>
          <w:color w:val="0C0C0C"/>
          <w:kern w:val="0"/>
          <w:sz w:val="32"/>
          <w:szCs w:val="32"/>
          <w:u w:val="none"/>
          <w:lang w:val="en-US" w:eastAsia="zh-CN" w:bidi="ar-SA"/>
        </w:rPr>
      </w:pPr>
      <w:r>
        <w:rPr>
          <w:rFonts w:hint="eastAsia" w:ascii="黑体" w:hAnsi="黑体" w:eastAsia="黑体" w:cs="黑体"/>
          <w:color w:val="0C0C0C"/>
          <w:kern w:val="0"/>
          <w:sz w:val="32"/>
          <w:szCs w:val="32"/>
          <w:u w:val="none"/>
          <w:lang w:val="en-US" w:eastAsia="zh-CN" w:bidi="ar-SA"/>
        </w:rPr>
        <w:t>五、房地产业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楷体_GB2312" w:hAnsi="楷体_GB2312" w:eastAsia="楷体_GB2312" w:cs="楷体_GB2312"/>
          <w:i w:val="0"/>
          <w:caps w:val="0"/>
          <w:color w:val="0C0C0C"/>
          <w:spacing w:val="0"/>
          <w:kern w:val="0"/>
          <w:sz w:val="32"/>
          <w:szCs w:val="32"/>
          <w:highlight w:val="none"/>
          <w:lang w:bidi="ar"/>
        </w:rPr>
      </w:pPr>
      <w:r>
        <w:rPr>
          <w:rFonts w:hint="eastAsia" w:ascii="楷体_GB2312" w:hAnsi="楷体_GB2312" w:eastAsia="楷体_GB2312" w:cs="楷体_GB2312"/>
          <w:i w:val="0"/>
          <w:caps w:val="0"/>
          <w:color w:val="0C0C0C"/>
          <w:spacing w:val="0"/>
          <w:kern w:val="0"/>
          <w:sz w:val="32"/>
          <w:szCs w:val="32"/>
          <w:highlight w:val="none"/>
          <w:lang w:val="en-US" w:eastAsia="zh-CN" w:bidi="ar"/>
        </w:rPr>
        <w:t>（一）企业法人单位数和从业人员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2023年末，全区共有房地产业企业法人单位</w:t>
      </w:r>
      <w:r>
        <w:rPr>
          <w:rFonts w:hint="eastAsia" w:ascii="Times New Roman" w:hAnsi="Times New Roman" w:eastAsia="仿宋_GB2312" w:cs="仿宋_GB2312"/>
          <w:color w:val="0C0C0C"/>
          <w:sz w:val="32"/>
          <w:szCs w:val="32"/>
          <w:u w:val="none"/>
          <w:lang w:val="en-US" w:eastAsia="zh-CN"/>
        </w:rPr>
        <w:t>3280</w:t>
      </w:r>
      <w:r>
        <w:rPr>
          <w:rFonts w:hint="eastAsia" w:ascii="Times New Roman" w:hAnsi="Times New Roman" w:eastAsia="仿宋_GB2312" w:cs="仿宋_GB2312"/>
          <w:color w:val="0C0C0C"/>
          <w:spacing w:val="-6"/>
          <w:kern w:val="2"/>
          <w:sz w:val="32"/>
          <w:szCs w:val="32"/>
          <w:u w:val="none"/>
          <w:lang w:val="en-US" w:eastAsia="zh-CN" w:bidi="ar-SA"/>
        </w:rPr>
        <w:t>个，比2018年末增长</w:t>
      </w:r>
      <w:r>
        <w:rPr>
          <w:rFonts w:hint="eastAsia" w:ascii="Times New Roman" w:hAnsi="Times New Roman" w:eastAsia="仿宋_GB2312" w:cs="仿宋_GB2312"/>
          <w:color w:val="0C0C0C"/>
          <w:sz w:val="32"/>
          <w:szCs w:val="32"/>
          <w:u w:val="none"/>
          <w:lang w:val="en-US" w:eastAsia="zh-CN"/>
        </w:rPr>
        <w:t>59.8</w:t>
      </w:r>
      <w:r>
        <w:rPr>
          <w:rFonts w:hint="eastAsia" w:ascii="Times New Roman" w:hAnsi="Times New Roman" w:eastAsia="仿宋_GB2312" w:cs="仿宋_GB2312"/>
          <w:color w:val="0C0C0C"/>
          <w:spacing w:val="-6"/>
          <w:kern w:val="2"/>
          <w:sz w:val="32"/>
          <w:szCs w:val="32"/>
          <w:u w:val="none"/>
          <w:lang w:val="en-US" w:eastAsia="zh-CN" w:bidi="ar-SA"/>
        </w:rPr>
        <w:t>%。其中，房地产开发经营企业</w:t>
      </w:r>
      <w:r>
        <w:rPr>
          <w:rFonts w:hint="eastAsia" w:ascii="Times New Roman" w:hAnsi="Times New Roman" w:eastAsia="仿宋_GB2312" w:cs="仿宋_GB2312"/>
          <w:color w:val="0C0C0C"/>
          <w:sz w:val="32"/>
          <w:szCs w:val="32"/>
          <w:u w:val="none"/>
          <w:lang w:val="en-US" w:eastAsia="zh-CN"/>
        </w:rPr>
        <w:t>243</w:t>
      </w:r>
      <w:r>
        <w:rPr>
          <w:rFonts w:hint="eastAsia" w:ascii="Times New Roman" w:hAnsi="Times New Roman" w:eastAsia="仿宋_GB2312" w:cs="仿宋_GB2312"/>
          <w:color w:val="0C0C0C"/>
          <w:spacing w:val="-6"/>
          <w:kern w:val="2"/>
          <w:sz w:val="32"/>
          <w:szCs w:val="32"/>
          <w:u w:val="none"/>
          <w:lang w:val="en-US" w:eastAsia="zh-CN" w:bidi="ar-SA"/>
        </w:rPr>
        <w:t>个，比2018年末下降</w:t>
      </w:r>
      <w:r>
        <w:rPr>
          <w:rFonts w:hint="eastAsia" w:ascii="Times New Roman" w:hAnsi="Times New Roman" w:eastAsia="仿宋_GB2312" w:cs="仿宋_GB2312"/>
          <w:color w:val="0C0C0C"/>
          <w:sz w:val="32"/>
          <w:szCs w:val="32"/>
          <w:u w:val="none"/>
          <w:lang w:val="en-US" w:eastAsia="zh-CN"/>
        </w:rPr>
        <w:t>23.3</w:t>
      </w:r>
      <w:r>
        <w:rPr>
          <w:rFonts w:hint="eastAsia" w:ascii="Times New Roman" w:hAnsi="Times New Roman" w:eastAsia="仿宋_GB2312" w:cs="仿宋_GB2312"/>
          <w:color w:val="0C0C0C"/>
          <w:spacing w:val="-6"/>
          <w:kern w:val="2"/>
          <w:sz w:val="32"/>
          <w:szCs w:val="32"/>
          <w:u w:val="none"/>
          <w:lang w:val="en-US" w:eastAsia="zh-CN" w:bidi="ar-SA"/>
        </w:rPr>
        <w:t>%；物业管理企业</w:t>
      </w:r>
      <w:r>
        <w:rPr>
          <w:rFonts w:hint="eastAsia" w:ascii="Times New Roman" w:hAnsi="Times New Roman" w:eastAsia="仿宋_GB2312" w:cs="仿宋_GB2312"/>
          <w:color w:val="0C0C0C"/>
          <w:sz w:val="32"/>
          <w:szCs w:val="32"/>
          <w:u w:val="none"/>
          <w:lang w:val="en-US" w:eastAsia="zh-CN"/>
        </w:rPr>
        <w:t>1030</w:t>
      </w:r>
      <w:r>
        <w:rPr>
          <w:rFonts w:hint="eastAsia" w:ascii="Times New Roman" w:hAnsi="Times New Roman" w:eastAsia="仿宋_GB2312" w:cs="仿宋_GB2312"/>
          <w:color w:val="0C0C0C"/>
          <w:spacing w:val="-6"/>
          <w:kern w:val="2"/>
          <w:sz w:val="32"/>
          <w:szCs w:val="32"/>
          <w:u w:val="none"/>
          <w:lang w:val="en-US" w:eastAsia="zh-CN" w:bidi="ar-SA"/>
        </w:rPr>
        <w:t>个，房地产中介服务企业</w:t>
      </w:r>
      <w:r>
        <w:rPr>
          <w:rFonts w:hint="eastAsia" w:ascii="Times New Roman" w:hAnsi="Times New Roman" w:eastAsia="仿宋_GB2312" w:cs="仿宋_GB2312"/>
          <w:color w:val="0C0C0C"/>
          <w:sz w:val="32"/>
          <w:szCs w:val="32"/>
          <w:u w:val="none"/>
          <w:lang w:val="en-US" w:eastAsia="zh-CN"/>
        </w:rPr>
        <w:t>1089</w:t>
      </w:r>
      <w:r>
        <w:rPr>
          <w:rFonts w:hint="eastAsia" w:ascii="Times New Roman" w:hAnsi="Times New Roman" w:eastAsia="仿宋_GB2312" w:cs="仿宋_GB2312"/>
          <w:color w:val="0C0C0C"/>
          <w:spacing w:val="-6"/>
          <w:kern w:val="2"/>
          <w:sz w:val="32"/>
          <w:szCs w:val="32"/>
          <w:u w:val="none"/>
          <w:lang w:val="en-US" w:eastAsia="zh-CN" w:bidi="ar-SA"/>
        </w:rPr>
        <w:t>个，分别比2018年增长</w:t>
      </w:r>
      <w:r>
        <w:rPr>
          <w:rFonts w:hint="eastAsia" w:ascii="Times New Roman" w:hAnsi="Times New Roman" w:eastAsia="仿宋_GB2312" w:cs="仿宋_GB2312"/>
          <w:color w:val="0C0C0C"/>
          <w:sz w:val="32"/>
          <w:szCs w:val="32"/>
          <w:u w:val="none"/>
          <w:lang w:val="en-US" w:eastAsia="zh-CN"/>
        </w:rPr>
        <w:t>99.2</w:t>
      </w:r>
      <w:r>
        <w:rPr>
          <w:rFonts w:hint="eastAsia" w:ascii="Times New Roman" w:hAnsi="Times New Roman" w:eastAsia="仿宋_GB2312" w:cs="仿宋_GB2312"/>
          <w:color w:val="0C0C0C"/>
          <w:spacing w:val="-6"/>
          <w:kern w:val="2"/>
          <w:sz w:val="32"/>
          <w:szCs w:val="32"/>
          <w:u w:val="none"/>
          <w:lang w:val="en-US" w:eastAsia="zh-CN" w:bidi="ar-SA"/>
        </w:rPr>
        <w:t>%和</w:t>
      </w:r>
      <w:r>
        <w:rPr>
          <w:rFonts w:hint="eastAsia" w:ascii="Times New Roman" w:hAnsi="Times New Roman" w:eastAsia="仿宋_GB2312" w:cs="仿宋_GB2312"/>
          <w:color w:val="0C0C0C"/>
          <w:sz w:val="32"/>
          <w:szCs w:val="32"/>
          <w:u w:val="none"/>
          <w:lang w:val="en-US" w:eastAsia="zh-CN"/>
        </w:rPr>
        <w:t>13.4</w:t>
      </w:r>
      <w:r>
        <w:rPr>
          <w:rFonts w:hint="eastAsia" w:ascii="Times New Roman" w:hAnsi="Times New Roman" w:eastAsia="仿宋_GB2312" w:cs="仿宋_GB2312"/>
          <w:color w:val="0C0C0C"/>
          <w:spacing w:val="-6"/>
          <w:kern w:val="2"/>
          <w:sz w:val="32"/>
          <w:szCs w:val="32"/>
          <w:u w:val="none"/>
          <w:lang w:val="en-US" w:eastAsia="zh-CN" w:bidi="ar-SA"/>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宋体" w:cs="宋体"/>
          <w:b/>
          <w:i w:val="0"/>
          <w:caps w:val="0"/>
          <w:color w:val="0C0C0C"/>
          <w:spacing w:val="0"/>
          <w:kern w:val="0"/>
          <w:sz w:val="30"/>
          <w:szCs w:val="30"/>
          <w:highlight w:val="none"/>
          <w:lang w:val="en-US" w:eastAsia="zh-CN" w:bidi="ar"/>
        </w:rPr>
      </w:pPr>
      <w:r>
        <w:rPr>
          <w:rFonts w:hint="eastAsia" w:ascii="Times New Roman" w:hAnsi="Times New Roman" w:eastAsia="仿宋_GB2312" w:cs="仿宋_GB2312"/>
          <w:color w:val="0C0C0C"/>
          <w:spacing w:val="-6"/>
          <w:kern w:val="2"/>
          <w:sz w:val="32"/>
          <w:szCs w:val="32"/>
          <w:u w:val="none"/>
          <w:lang w:val="en-US" w:eastAsia="zh-CN" w:bidi="ar-SA"/>
        </w:rPr>
        <w:t>2023年末，全区房地产业企业法人单位从业人员</w:t>
      </w:r>
      <w:r>
        <w:rPr>
          <w:rFonts w:hint="eastAsia" w:ascii="Times New Roman" w:hAnsi="Times New Roman" w:eastAsia="仿宋_GB2312" w:cs="仿宋_GB2312"/>
          <w:color w:val="0C0C0C"/>
          <w:sz w:val="32"/>
          <w:szCs w:val="32"/>
          <w:u w:val="none"/>
          <w:lang w:val="en-US" w:eastAsia="zh-CN"/>
        </w:rPr>
        <w:t>3.25万</w:t>
      </w:r>
      <w:r>
        <w:rPr>
          <w:rFonts w:hint="eastAsia" w:ascii="Times New Roman" w:hAnsi="Times New Roman" w:eastAsia="仿宋_GB2312" w:cs="仿宋_GB2312"/>
          <w:color w:val="0C0C0C"/>
          <w:spacing w:val="-6"/>
          <w:kern w:val="2"/>
          <w:sz w:val="32"/>
          <w:szCs w:val="32"/>
          <w:u w:val="none"/>
          <w:lang w:val="en-US" w:eastAsia="zh-CN" w:bidi="ar-SA"/>
        </w:rPr>
        <w:t>人，比2018年末增长</w:t>
      </w:r>
      <w:r>
        <w:rPr>
          <w:rFonts w:hint="eastAsia" w:ascii="Times New Roman" w:hAnsi="Times New Roman" w:eastAsia="仿宋_GB2312" w:cs="仿宋_GB2312"/>
          <w:color w:val="0C0C0C"/>
          <w:sz w:val="32"/>
          <w:szCs w:val="32"/>
          <w:u w:val="none"/>
          <w:lang w:val="en-US" w:eastAsia="zh-CN"/>
        </w:rPr>
        <w:t>60.1</w:t>
      </w:r>
      <w:r>
        <w:rPr>
          <w:rFonts w:hint="eastAsia" w:ascii="Times New Roman" w:hAnsi="Times New Roman" w:eastAsia="仿宋_GB2312" w:cs="仿宋_GB2312"/>
          <w:color w:val="0C0C0C"/>
          <w:spacing w:val="-6"/>
          <w:kern w:val="2"/>
          <w:sz w:val="32"/>
          <w:szCs w:val="32"/>
          <w:u w:val="none"/>
          <w:lang w:val="en-US" w:eastAsia="zh-CN" w:bidi="ar-SA"/>
        </w:rPr>
        <w:t>%。其中，房地产开发经营企业0.</w:t>
      </w:r>
      <w:r>
        <w:rPr>
          <w:rFonts w:hint="eastAsia" w:ascii="Times New Roman" w:hAnsi="Times New Roman" w:eastAsia="仿宋_GB2312" w:cs="仿宋_GB2312"/>
          <w:color w:val="0C0C0C"/>
          <w:sz w:val="32"/>
          <w:szCs w:val="32"/>
          <w:u w:val="none"/>
          <w:lang w:val="en-US" w:eastAsia="zh-CN"/>
        </w:rPr>
        <w:t>43万</w:t>
      </w:r>
      <w:r>
        <w:rPr>
          <w:rFonts w:hint="eastAsia" w:ascii="Times New Roman" w:hAnsi="Times New Roman" w:eastAsia="仿宋_GB2312" w:cs="仿宋_GB2312"/>
          <w:color w:val="0C0C0C"/>
          <w:spacing w:val="-6"/>
          <w:kern w:val="2"/>
          <w:sz w:val="32"/>
          <w:szCs w:val="32"/>
          <w:u w:val="none"/>
          <w:lang w:val="en-US" w:eastAsia="zh-CN" w:bidi="ar-SA"/>
        </w:rPr>
        <w:t>人，比2018年末下降</w:t>
      </w:r>
      <w:r>
        <w:rPr>
          <w:rFonts w:hint="eastAsia" w:ascii="Times New Roman" w:hAnsi="Times New Roman" w:eastAsia="仿宋_GB2312" w:cs="仿宋_GB2312"/>
          <w:color w:val="0C0C0C"/>
          <w:sz w:val="32"/>
          <w:szCs w:val="32"/>
          <w:u w:val="none"/>
          <w:lang w:val="en-US" w:eastAsia="zh-CN"/>
        </w:rPr>
        <w:t>38.2</w:t>
      </w:r>
      <w:r>
        <w:rPr>
          <w:rFonts w:hint="eastAsia" w:ascii="Times New Roman" w:hAnsi="Times New Roman" w:eastAsia="仿宋_GB2312" w:cs="仿宋_GB2312"/>
          <w:color w:val="0C0C0C"/>
          <w:spacing w:val="-6"/>
          <w:kern w:val="2"/>
          <w:sz w:val="32"/>
          <w:szCs w:val="32"/>
          <w:u w:val="none"/>
          <w:lang w:val="en-US" w:eastAsia="zh-CN" w:bidi="ar-SA"/>
        </w:rPr>
        <w:t>%；物业管理企业</w:t>
      </w:r>
      <w:r>
        <w:rPr>
          <w:rFonts w:hint="eastAsia" w:ascii="Times New Roman" w:hAnsi="Times New Roman" w:eastAsia="仿宋_GB2312" w:cs="仿宋_GB2312"/>
          <w:color w:val="0C0C0C"/>
          <w:sz w:val="32"/>
          <w:szCs w:val="32"/>
          <w:u w:val="none"/>
          <w:lang w:val="en-US" w:eastAsia="zh-CN"/>
        </w:rPr>
        <w:t>1.85万</w:t>
      </w:r>
      <w:r>
        <w:rPr>
          <w:rFonts w:hint="eastAsia" w:ascii="Times New Roman" w:hAnsi="Times New Roman" w:eastAsia="仿宋_GB2312" w:cs="仿宋_GB2312"/>
          <w:color w:val="0C0C0C"/>
          <w:spacing w:val="-6"/>
          <w:kern w:val="2"/>
          <w:sz w:val="32"/>
          <w:szCs w:val="32"/>
          <w:u w:val="none"/>
          <w:lang w:val="en-US" w:eastAsia="zh-CN" w:bidi="ar-SA"/>
        </w:rPr>
        <w:t>人，比2018年末增长</w:t>
      </w:r>
      <w:r>
        <w:rPr>
          <w:rFonts w:hint="eastAsia" w:ascii="Times New Roman" w:hAnsi="Times New Roman" w:eastAsia="仿宋_GB2312" w:cs="仿宋_GB2312"/>
          <w:color w:val="0C0C0C"/>
          <w:sz w:val="32"/>
          <w:szCs w:val="32"/>
          <w:u w:val="none"/>
          <w:lang w:val="en-US" w:eastAsia="zh-CN"/>
        </w:rPr>
        <w:t>2.0倍</w:t>
      </w:r>
      <w:r>
        <w:rPr>
          <w:rFonts w:hint="eastAsia" w:ascii="Times New Roman" w:hAnsi="Times New Roman" w:eastAsia="仿宋_GB2312" w:cs="仿宋_GB2312"/>
          <w:color w:val="0C0C0C"/>
          <w:spacing w:val="-6"/>
          <w:kern w:val="2"/>
          <w:sz w:val="32"/>
          <w:szCs w:val="32"/>
          <w:u w:val="none"/>
          <w:lang w:val="en-US" w:eastAsia="zh-CN" w:bidi="ar-SA"/>
        </w:rPr>
        <w:t>；房地产中介服务企业0.</w:t>
      </w:r>
      <w:r>
        <w:rPr>
          <w:rFonts w:hint="eastAsia" w:ascii="Times New Roman" w:hAnsi="Times New Roman" w:eastAsia="仿宋_GB2312" w:cs="仿宋_GB2312"/>
          <w:color w:val="0C0C0C"/>
          <w:sz w:val="32"/>
          <w:szCs w:val="32"/>
          <w:u w:val="none"/>
          <w:lang w:val="en-US" w:eastAsia="zh-CN"/>
        </w:rPr>
        <w:t>57万</w:t>
      </w:r>
      <w:r>
        <w:rPr>
          <w:rFonts w:hint="eastAsia" w:ascii="Times New Roman" w:hAnsi="Times New Roman" w:eastAsia="仿宋_GB2312" w:cs="仿宋_GB2312"/>
          <w:color w:val="0C0C0C"/>
          <w:spacing w:val="-6"/>
          <w:kern w:val="2"/>
          <w:sz w:val="32"/>
          <w:szCs w:val="32"/>
          <w:u w:val="none"/>
          <w:lang w:val="en-US" w:eastAsia="zh-CN" w:bidi="ar-SA"/>
        </w:rPr>
        <w:t>人，比2018年末下降5.1%（详见表4-13）。</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1" w:afterLines="10" w:afterAutospacing="0" w:line="440" w:lineRule="exact"/>
        <w:ind w:left="0" w:right="0" w:firstLine="0" w:firstLineChars="0"/>
        <w:jc w:val="center"/>
        <w:textAlignment w:val="auto"/>
        <w:rPr>
          <w:rFonts w:hint="eastAsia" w:ascii="Times New Roman" w:hAnsi="Times New Roman" w:eastAsia="宋体" w:cs="宋体"/>
          <w:b/>
          <w:i w:val="0"/>
          <w:caps w:val="0"/>
          <w:color w:val="0C0C0C"/>
          <w:spacing w:val="0"/>
          <w:kern w:val="0"/>
          <w:sz w:val="30"/>
          <w:szCs w:val="30"/>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表4-1</w:t>
      </w:r>
      <w:r>
        <w:rPr>
          <w:rFonts w:hint="eastAsia" w:ascii="Times New Roman" w:hAnsi="Times New Roman" w:cs="宋体"/>
          <w:b/>
          <w:i w:val="0"/>
          <w:caps w:val="0"/>
          <w:color w:val="0C0C0C"/>
          <w:spacing w:val="0"/>
          <w:kern w:val="0"/>
          <w:sz w:val="24"/>
          <w:szCs w:val="24"/>
          <w:highlight w:val="none"/>
          <w:lang w:val="en-US" w:eastAsia="zh-CN" w:bidi="ar"/>
        </w:rPr>
        <w:t>3</w:t>
      </w:r>
      <w:r>
        <w:rPr>
          <w:rFonts w:hint="eastAsia" w:ascii="Times New Roman" w:hAnsi="Times New Roman" w:eastAsia="宋体" w:cs="宋体"/>
          <w:b/>
          <w:i w:val="0"/>
          <w:caps w:val="0"/>
          <w:color w:val="0C0C0C"/>
          <w:spacing w:val="0"/>
          <w:kern w:val="0"/>
          <w:sz w:val="24"/>
          <w:szCs w:val="24"/>
          <w:highlight w:val="none"/>
          <w:lang w:val="en-US" w:eastAsia="zh-CN" w:bidi="ar"/>
        </w:rPr>
        <w:t>　按行业中类分组的房地产业企业法人单位数和从业人员</w:t>
      </w:r>
    </w:p>
    <w:tbl>
      <w:tblPr>
        <w:tblStyle w:val="11"/>
        <w:tblW w:w="8839"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3878"/>
        <w:gridCol w:w="2480"/>
        <w:gridCol w:w="2481"/>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PrEx>
        <w:trPr>
          <w:trHeight w:val="23" w:hRule="atLeast"/>
          <w:jc w:val="center"/>
        </w:trPr>
        <w:tc>
          <w:tcPr>
            <w:tcW w:w="3878" w:type="dxa"/>
            <w:tcBorders>
              <w:top w:val="single" w:color="auto" w:sz="12" w:space="0"/>
              <w:left w:val="nil"/>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color w:val="0C0C0C"/>
                <w:sz w:val="21"/>
                <w:szCs w:val="21"/>
                <w:highlight w:val="none"/>
              </w:rPr>
            </w:pPr>
          </w:p>
        </w:tc>
        <w:tc>
          <w:tcPr>
            <w:tcW w:w="2480"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kern w:val="0"/>
                <w:sz w:val="21"/>
                <w:szCs w:val="21"/>
                <w:highlight w:val="none"/>
                <w:lang w:val="en-US" w:eastAsia="zh-CN" w:bidi="ar"/>
              </w:rPr>
            </w:pPr>
            <w:r>
              <w:rPr>
                <w:rFonts w:hint="eastAsia" w:ascii="Times New Roman" w:hAnsi="Times New Roman" w:eastAsia="宋体" w:cs="宋体"/>
                <w:b/>
                <w:bCs/>
                <w:color w:val="0C0C0C"/>
                <w:kern w:val="0"/>
                <w:sz w:val="21"/>
                <w:szCs w:val="21"/>
                <w:highlight w:val="none"/>
                <w:lang w:val="en-US" w:eastAsia="zh-CN" w:bidi="ar"/>
              </w:rPr>
              <w:t>企业法人单位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（个）</w:t>
            </w:r>
          </w:p>
        </w:tc>
        <w:tc>
          <w:tcPr>
            <w:tcW w:w="2481" w:type="dxa"/>
            <w:tcBorders>
              <w:top w:val="single" w:color="auto" w:sz="12" w:space="0"/>
              <w:left w:val="single" w:color="auto" w:sz="4" w:space="0"/>
              <w:bottom w:val="single" w:color="auto" w:sz="4"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kern w:val="0"/>
                <w:sz w:val="21"/>
                <w:szCs w:val="21"/>
                <w:highlight w:val="none"/>
                <w:lang w:val="en-US" w:eastAsia="zh-CN" w:bidi="ar"/>
              </w:rPr>
            </w:pPr>
            <w:r>
              <w:rPr>
                <w:rFonts w:hint="eastAsia" w:ascii="Times New Roman" w:hAnsi="Times New Roman" w:eastAsia="宋体" w:cs="宋体"/>
                <w:b/>
                <w:bCs/>
                <w:color w:val="0C0C0C"/>
                <w:kern w:val="0"/>
                <w:sz w:val="21"/>
                <w:szCs w:val="21"/>
                <w:highlight w:val="none"/>
                <w:lang w:val="en-US" w:eastAsia="zh-CN" w:bidi="ar"/>
              </w:rPr>
              <w:t>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PrEx>
        <w:trPr>
          <w:trHeight w:val="340" w:hRule="exact"/>
          <w:jc w:val="center"/>
        </w:trPr>
        <w:tc>
          <w:tcPr>
            <w:tcW w:w="3878" w:type="dxa"/>
            <w:tcBorders>
              <w:top w:val="single" w:color="auto" w:sz="4" w:space="0"/>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2480"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i w:val="0"/>
                <w:color w:val="0C0C0C"/>
                <w:kern w:val="0"/>
                <w:sz w:val="21"/>
                <w:szCs w:val="21"/>
                <w:highlight w:val="none"/>
                <w:u w:val="none"/>
                <w:lang w:val="en" w:eastAsia="zh-CN" w:bidi="ar"/>
              </w:rPr>
            </w:pPr>
            <w:r>
              <w:rPr>
                <w:rFonts w:hint="eastAsia" w:ascii="Times New Roman" w:hAnsi="Times New Roman" w:eastAsia="宋体" w:cs="宋体"/>
                <w:b/>
                <w:bCs/>
                <w:i w:val="0"/>
                <w:iCs w:val="0"/>
                <w:color w:val="000000"/>
                <w:kern w:val="0"/>
                <w:sz w:val="21"/>
                <w:szCs w:val="21"/>
                <w:u w:val="none"/>
                <w:lang w:val="en-US" w:eastAsia="zh-CN" w:bidi="ar"/>
              </w:rPr>
              <w:t>3280</w:t>
            </w:r>
          </w:p>
        </w:tc>
        <w:tc>
          <w:tcPr>
            <w:tcW w:w="2481" w:type="dxa"/>
            <w:tcBorders>
              <w:top w:val="single" w:color="auto" w:sz="4" w:space="0"/>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i w:val="0"/>
                <w:color w:val="0C0C0C"/>
                <w:kern w:val="0"/>
                <w:sz w:val="21"/>
                <w:szCs w:val="21"/>
                <w:highlight w:val="none"/>
                <w:u w:val="none"/>
                <w:lang w:val="en" w:eastAsia="zh-CN" w:bidi="ar"/>
              </w:rPr>
            </w:pPr>
            <w:r>
              <w:rPr>
                <w:rFonts w:hint="eastAsia" w:ascii="Times New Roman" w:hAnsi="Times New Roman" w:eastAsia="宋体" w:cs="宋体"/>
                <w:b/>
                <w:bCs/>
                <w:i w:val="0"/>
                <w:iCs w:val="0"/>
                <w:color w:val="000000"/>
                <w:kern w:val="0"/>
                <w:sz w:val="21"/>
                <w:szCs w:val="21"/>
                <w:u w:val="none"/>
                <w:lang w:val="en-US" w:eastAsia="zh-CN" w:bidi="ar"/>
              </w:rPr>
              <w:t>32481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78"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房地产开发经营</w:t>
            </w:r>
          </w:p>
        </w:tc>
        <w:tc>
          <w:tcPr>
            <w:tcW w:w="2480"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243</w:t>
            </w:r>
          </w:p>
        </w:tc>
        <w:tc>
          <w:tcPr>
            <w:tcW w:w="2481"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4335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78"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物业管理</w:t>
            </w:r>
          </w:p>
        </w:tc>
        <w:tc>
          <w:tcPr>
            <w:tcW w:w="2480"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1030</w:t>
            </w:r>
          </w:p>
        </w:tc>
        <w:tc>
          <w:tcPr>
            <w:tcW w:w="2481"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18505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78"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房地产中介服务</w:t>
            </w:r>
          </w:p>
        </w:tc>
        <w:tc>
          <w:tcPr>
            <w:tcW w:w="2480"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1089</w:t>
            </w:r>
          </w:p>
        </w:tc>
        <w:tc>
          <w:tcPr>
            <w:tcW w:w="2481"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5715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78"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房地产租赁经营</w:t>
            </w:r>
          </w:p>
        </w:tc>
        <w:tc>
          <w:tcPr>
            <w:tcW w:w="2480"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815</w:t>
            </w:r>
          </w:p>
        </w:tc>
        <w:tc>
          <w:tcPr>
            <w:tcW w:w="2481"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3676</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78" w:type="dxa"/>
            <w:tcBorders>
              <w:top w:val="nil"/>
              <w:left w:val="nil"/>
              <w:bottom w:val="single" w:color="auto" w:sz="12"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其他房地产业</w:t>
            </w:r>
          </w:p>
        </w:tc>
        <w:tc>
          <w:tcPr>
            <w:tcW w:w="2480"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103</w:t>
            </w:r>
          </w:p>
        </w:tc>
        <w:tc>
          <w:tcPr>
            <w:tcW w:w="2481" w:type="dxa"/>
            <w:tcBorders>
              <w:top w:val="nil"/>
              <w:left w:val="single" w:color="auto" w:sz="4" w:space="0"/>
              <w:bottom w:val="single" w:color="auto" w:sz="12" w:space="0"/>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250</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在房地产业企业法人单位中，内资企业占</w:t>
      </w:r>
      <w:r>
        <w:rPr>
          <w:rFonts w:hint="eastAsia" w:ascii="Times New Roman" w:hAnsi="Times New Roman" w:eastAsia="仿宋_GB2312" w:cs="仿宋_GB2312"/>
          <w:color w:val="0C0C0C"/>
          <w:sz w:val="32"/>
          <w:szCs w:val="32"/>
          <w:u w:val="none"/>
          <w:lang w:val="en-US" w:eastAsia="zh-CN"/>
        </w:rPr>
        <w:t>97.7</w:t>
      </w:r>
      <w:r>
        <w:rPr>
          <w:rFonts w:hint="eastAsia" w:ascii="Times New Roman" w:hAnsi="Times New Roman" w:eastAsia="仿宋_GB2312" w:cs="仿宋_GB2312"/>
          <w:color w:val="0C0C0C"/>
          <w:spacing w:val="-6"/>
          <w:kern w:val="2"/>
          <w:sz w:val="32"/>
          <w:szCs w:val="32"/>
          <w:u w:val="none"/>
          <w:lang w:val="en-US" w:eastAsia="zh-CN" w:bidi="ar-SA"/>
        </w:rPr>
        <w:t>%，港澳台投资企业占</w:t>
      </w:r>
      <w:r>
        <w:rPr>
          <w:rFonts w:hint="eastAsia" w:ascii="Times New Roman" w:hAnsi="Times New Roman" w:eastAsia="仿宋_GB2312" w:cs="仿宋_GB2312"/>
          <w:color w:val="0C0C0C"/>
          <w:sz w:val="32"/>
          <w:szCs w:val="32"/>
          <w:u w:val="none"/>
          <w:lang w:val="en-US" w:eastAsia="zh-CN"/>
        </w:rPr>
        <w:t>1.9</w:t>
      </w:r>
      <w:r>
        <w:rPr>
          <w:rFonts w:hint="eastAsia" w:ascii="Times New Roman" w:hAnsi="Times New Roman" w:eastAsia="仿宋_GB2312" w:cs="仿宋_GB2312"/>
          <w:color w:val="0C0C0C"/>
          <w:spacing w:val="-6"/>
          <w:kern w:val="2"/>
          <w:sz w:val="32"/>
          <w:szCs w:val="32"/>
          <w:u w:val="none"/>
          <w:lang w:val="en-US" w:eastAsia="zh-CN" w:bidi="ar-SA"/>
        </w:rPr>
        <w:t>%，外商投资企业占</w:t>
      </w:r>
      <w:r>
        <w:rPr>
          <w:rFonts w:hint="eastAsia" w:ascii="Times New Roman" w:hAnsi="Times New Roman" w:eastAsia="仿宋_GB2312" w:cs="仿宋_GB2312"/>
          <w:color w:val="0C0C0C"/>
          <w:sz w:val="32"/>
          <w:szCs w:val="32"/>
          <w:u w:val="none"/>
          <w:lang w:val="en-US" w:eastAsia="zh-CN"/>
        </w:rPr>
        <w:t>0.3</w:t>
      </w:r>
      <w:r>
        <w:rPr>
          <w:rFonts w:hint="eastAsia" w:ascii="Times New Roman" w:hAnsi="Times New Roman" w:eastAsia="仿宋_GB2312" w:cs="仿宋_GB2312"/>
          <w:color w:val="0C0C0C"/>
          <w:spacing w:val="-6"/>
          <w:kern w:val="2"/>
          <w:sz w:val="32"/>
          <w:szCs w:val="32"/>
          <w:u w:val="none"/>
          <w:lang w:val="en-US" w:eastAsia="zh-CN" w:bidi="ar-SA"/>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在房地产业企业法人单位从业人员中，内资企业占</w:t>
      </w:r>
      <w:r>
        <w:rPr>
          <w:rFonts w:hint="eastAsia" w:ascii="Times New Roman" w:hAnsi="Times New Roman" w:eastAsia="仿宋_GB2312" w:cs="仿宋_GB2312"/>
          <w:color w:val="0C0C0C"/>
          <w:sz w:val="32"/>
          <w:szCs w:val="32"/>
          <w:u w:val="none"/>
          <w:lang w:val="en-US" w:eastAsia="zh-CN"/>
        </w:rPr>
        <w:t>97.5</w:t>
      </w:r>
      <w:r>
        <w:rPr>
          <w:rFonts w:hint="eastAsia" w:ascii="Times New Roman" w:hAnsi="Times New Roman" w:eastAsia="仿宋_GB2312" w:cs="仿宋_GB2312"/>
          <w:color w:val="0C0C0C"/>
          <w:spacing w:val="-6"/>
          <w:kern w:val="2"/>
          <w:sz w:val="32"/>
          <w:szCs w:val="32"/>
          <w:u w:val="none"/>
          <w:lang w:val="en-US" w:eastAsia="zh-CN" w:bidi="ar-SA"/>
        </w:rPr>
        <w:t>%，港澳台投资企业占</w:t>
      </w:r>
      <w:r>
        <w:rPr>
          <w:rFonts w:hint="eastAsia" w:ascii="Times New Roman" w:hAnsi="Times New Roman" w:eastAsia="仿宋_GB2312" w:cs="仿宋_GB2312"/>
          <w:color w:val="0C0C0C"/>
          <w:sz w:val="32"/>
          <w:szCs w:val="32"/>
          <w:u w:val="none"/>
          <w:lang w:val="en-US" w:eastAsia="zh-CN"/>
        </w:rPr>
        <w:t>1.8</w:t>
      </w:r>
      <w:r>
        <w:rPr>
          <w:rFonts w:hint="eastAsia" w:ascii="Times New Roman" w:hAnsi="Times New Roman" w:eastAsia="仿宋_GB2312" w:cs="仿宋_GB2312"/>
          <w:color w:val="0C0C0C"/>
          <w:spacing w:val="-6"/>
          <w:kern w:val="2"/>
          <w:sz w:val="32"/>
          <w:szCs w:val="32"/>
          <w:u w:val="none"/>
          <w:lang w:val="en-US" w:eastAsia="zh-CN" w:bidi="ar-SA"/>
        </w:rPr>
        <w:t>%，外商投资企业占</w:t>
      </w:r>
      <w:r>
        <w:rPr>
          <w:rFonts w:hint="eastAsia" w:ascii="Times New Roman" w:hAnsi="Times New Roman" w:eastAsia="仿宋_GB2312" w:cs="仿宋_GB2312"/>
          <w:color w:val="0C0C0C"/>
          <w:sz w:val="32"/>
          <w:szCs w:val="32"/>
          <w:u w:val="none"/>
          <w:lang w:val="en-US" w:eastAsia="zh-CN"/>
        </w:rPr>
        <w:t>0.7</w:t>
      </w:r>
      <w:r>
        <w:rPr>
          <w:rFonts w:hint="eastAsia" w:ascii="Times New Roman" w:hAnsi="Times New Roman" w:eastAsia="仿宋_GB2312" w:cs="仿宋_GB2312"/>
          <w:color w:val="0C0C0C"/>
          <w:spacing w:val="-6"/>
          <w:kern w:val="2"/>
          <w:sz w:val="32"/>
          <w:szCs w:val="32"/>
          <w:u w:val="none"/>
          <w:lang w:val="en-US" w:eastAsia="zh-CN" w:bidi="ar-SA"/>
        </w:rPr>
        <w:t>%（详见表4-14）。</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79" w:beforeLines="3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79" w:beforeLines="3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79" w:beforeLines="3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表4-1</w:t>
      </w:r>
      <w:r>
        <w:rPr>
          <w:rFonts w:hint="eastAsia" w:ascii="Times New Roman" w:hAnsi="Times New Roman" w:cs="宋体"/>
          <w:b/>
          <w:i w:val="0"/>
          <w:caps w:val="0"/>
          <w:color w:val="0C0C0C"/>
          <w:spacing w:val="0"/>
          <w:kern w:val="0"/>
          <w:sz w:val="24"/>
          <w:szCs w:val="24"/>
          <w:highlight w:val="none"/>
          <w:lang w:val="en-US" w:eastAsia="zh-CN" w:bidi="ar"/>
        </w:rPr>
        <w:t>4</w:t>
      </w:r>
      <w:r>
        <w:rPr>
          <w:rFonts w:hint="eastAsia" w:ascii="Times New Roman" w:hAnsi="Times New Roman" w:eastAsia="宋体" w:cs="宋体"/>
          <w:b/>
          <w:i w:val="0"/>
          <w:caps w:val="0"/>
          <w:color w:val="0C0C0C"/>
          <w:spacing w:val="0"/>
          <w:kern w:val="0"/>
          <w:sz w:val="24"/>
          <w:szCs w:val="24"/>
          <w:highlight w:val="none"/>
          <w:lang w:val="en-US" w:eastAsia="zh-CN" w:bidi="ar"/>
        </w:rPr>
        <w:t>　按登记注册统计类别分组的房地产业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 xml:space="preserve">    企业法人单位数和从业人员</w:t>
      </w:r>
    </w:p>
    <w:tbl>
      <w:tblPr>
        <w:tblStyle w:val="11"/>
        <w:tblW w:w="8834"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3890"/>
        <w:gridCol w:w="2471"/>
        <w:gridCol w:w="2473"/>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76" w:hRule="atLeast"/>
          <w:jc w:val="center"/>
        </w:trPr>
        <w:tc>
          <w:tcPr>
            <w:tcW w:w="3890" w:type="dxa"/>
            <w:tcBorders>
              <w:top w:val="single" w:color="auto" w:sz="12" w:space="0"/>
              <w:left w:val="nil"/>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eastAsia" w:ascii="Times New Roman" w:hAnsi="Times New Roman" w:eastAsia="宋体" w:cs="宋体"/>
                <w:color w:val="0C0C0C"/>
                <w:sz w:val="21"/>
                <w:szCs w:val="21"/>
                <w:highlight w:val="none"/>
              </w:rPr>
            </w:pPr>
          </w:p>
        </w:tc>
        <w:tc>
          <w:tcPr>
            <w:tcW w:w="2471"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企业法人单位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（个）</w:t>
            </w:r>
          </w:p>
        </w:tc>
        <w:tc>
          <w:tcPr>
            <w:tcW w:w="2473" w:type="dxa"/>
            <w:tcBorders>
              <w:top w:val="single" w:color="auto" w:sz="12" w:space="0"/>
              <w:left w:val="single" w:color="auto" w:sz="4" w:space="0"/>
              <w:bottom w:val="single" w:color="auto" w:sz="4"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0" w:type="dxa"/>
            <w:tcBorders>
              <w:top w:val="single" w:color="auto" w:sz="4" w:space="0"/>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2471"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i w:val="0"/>
                <w:color w:val="0C0C0C"/>
                <w:kern w:val="0"/>
                <w:sz w:val="21"/>
                <w:szCs w:val="21"/>
                <w:highlight w:val="none"/>
                <w:u w:val="none"/>
                <w:lang w:val="en" w:eastAsia="zh-CN" w:bidi="ar"/>
              </w:rPr>
            </w:pPr>
            <w:r>
              <w:rPr>
                <w:rFonts w:hint="eastAsia" w:ascii="Times New Roman" w:hAnsi="Times New Roman" w:eastAsia="宋体" w:cs="宋体"/>
                <w:b/>
                <w:bCs/>
                <w:i w:val="0"/>
                <w:iCs w:val="0"/>
                <w:color w:val="000000"/>
                <w:kern w:val="0"/>
                <w:sz w:val="21"/>
                <w:szCs w:val="21"/>
                <w:u w:val="none"/>
                <w:lang w:val="en-US" w:eastAsia="zh-CN" w:bidi="ar"/>
              </w:rPr>
              <w:t>3280</w:t>
            </w:r>
          </w:p>
        </w:tc>
        <w:tc>
          <w:tcPr>
            <w:tcW w:w="2473" w:type="dxa"/>
            <w:tcBorders>
              <w:top w:val="single" w:color="auto" w:sz="4" w:space="0"/>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i w:val="0"/>
                <w:color w:val="0C0C0C"/>
                <w:kern w:val="0"/>
                <w:sz w:val="21"/>
                <w:szCs w:val="21"/>
                <w:highlight w:val="none"/>
                <w:u w:val="none"/>
                <w:lang w:val="en" w:eastAsia="zh-CN" w:bidi="ar"/>
              </w:rPr>
            </w:pPr>
            <w:r>
              <w:rPr>
                <w:rFonts w:hint="eastAsia" w:ascii="Times New Roman" w:hAnsi="Times New Roman" w:eastAsia="宋体" w:cs="宋体"/>
                <w:b/>
                <w:bCs/>
                <w:i w:val="0"/>
                <w:iCs w:val="0"/>
                <w:color w:val="000000"/>
                <w:kern w:val="0"/>
                <w:sz w:val="21"/>
                <w:szCs w:val="21"/>
                <w:u w:val="none"/>
                <w:lang w:val="en-US" w:eastAsia="zh-CN" w:bidi="ar"/>
              </w:rPr>
              <w:t>32481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sz w:val="21"/>
                <w:szCs w:val="21"/>
                <w:highlight w:val="none"/>
              </w:rPr>
            </w:pPr>
            <w:r>
              <w:rPr>
                <w:rFonts w:hint="eastAsia" w:ascii="Times New Roman" w:hAnsi="Times New Roman" w:eastAsia="宋体" w:cs="宋体"/>
                <w:b w:val="0"/>
                <w:bCs/>
                <w:color w:val="0C0C0C"/>
                <w:kern w:val="0"/>
                <w:sz w:val="21"/>
                <w:szCs w:val="21"/>
                <w:highlight w:val="none"/>
                <w:lang w:val="en-US" w:eastAsia="zh-CN" w:bidi="ar"/>
              </w:rPr>
              <w:t>内资企业</w:t>
            </w:r>
          </w:p>
        </w:tc>
        <w:tc>
          <w:tcPr>
            <w:tcW w:w="247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3206</w:t>
            </w:r>
          </w:p>
        </w:tc>
        <w:tc>
          <w:tcPr>
            <w:tcW w:w="247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31685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PrEx>
        <w:trPr>
          <w:trHeight w:val="340" w:hRule="exact"/>
          <w:jc w:val="center"/>
        </w:trPr>
        <w:tc>
          <w:tcPr>
            <w:tcW w:w="389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sz w:val="21"/>
                <w:szCs w:val="21"/>
                <w:highlight w:val="none"/>
              </w:rPr>
            </w:pPr>
            <w:r>
              <w:rPr>
                <w:rFonts w:hint="eastAsia" w:ascii="Times New Roman" w:hAnsi="Times New Roman" w:eastAsia="宋体" w:cs="宋体"/>
                <w:b w:val="0"/>
                <w:bCs/>
                <w:color w:val="0C0C0C"/>
                <w:kern w:val="0"/>
                <w:sz w:val="21"/>
                <w:szCs w:val="21"/>
                <w:highlight w:val="none"/>
                <w:lang w:val="en" w:eastAsia="zh-CN" w:bidi="ar"/>
              </w:rPr>
              <w:t>港澳台</w:t>
            </w:r>
            <w:r>
              <w:rPr>
                <w:rFonts w:hint="eastAsia" w:ascii="Times New Roman" w:hAnsi="Times New Roman" w:eastAsia="宋体" w:cs="宋体"/>
                <w:b w:val="0"/>
                <w:bCs/>
                <w:color w:val="0C0C0C"/>
                <w:kern w:val="0"/>
                <w:sz w:val="21"/>
                <w:szCs w:val="21"/>
                <w:highlight w:val="none"/>
                <w:lang w:val="en-US" w:eastAsia="zh-CN" w:bidi="ar"/>
              </w:rPr>
              <w:t>投资企业</w:t>
            </w:r>
          </w:p>
        </w:tc>
        <w:tc>
          <w:tcPr>
            <w:tcW w:w="247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63</w:t>
            </w:r>
          </w:p>
        </w:tc>
        <w:tc>
          <w:tcPr>
            <w:tcW w:w="247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572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sz w:val="21"/>
                <w:szCs w:val="21"/>
                <w:highlight w:val="none"/>
              </w:rPr>
            </w:pPr>
            <w:r>
              <w:rPr>
                <w:rFonts w:hint="eastAsia" w:ascii="Times New Roman" w:hAnsi="Times New Roman" w:eastAsia="宋体" w:cs="宋体"/>
                <w:b w:val="0"/>
                <w:bCs/>
                <w:color w:val="0C0C0C"/>
                <w:kern w:val="0"/>
                <w:sz w:val="21"/>
                <w:szCs w:val="21"/>
                <w:highlight w:val="none"/>
                <w:lang w:val="en-US" w:eastAsia="zh-CN" w:bidi="ar"/>
              </w:rPr>
              <w:t>外商投资企业</w:t>
            </w:r>
          </w:p>
        </w:tc>
        <w:tc>
          <w:tcPr>
            <w:tcW w:w="247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11</w:t>
            </w:r>
          </w:p>
        </w:tc>
        <w:tc>
          <w:tcPr>
            <w:tcW w:w="247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224</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90" w:type="dxa"/>
            <w:tcBorders>
              <w:top w:val="nil"/>
              <w:left w:val="nil"/>
              <w:bottom w:val="single" w:color="auto" w:sz="12"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kern w:val="0"/>
                <w:sz w:val="21"/>
                <w:szCs w:val="21"/>
                <w:highlight w:val="none"/>
                <w:lang w:val="en-US" w:eastAsia="zh-CN" w:bidi="ar"/>
              </w:rPr>
            </w:pPr>
            <w:r>
              <w:rPr>
                <w:rFonts w:hint="eastAsia" w:ascii="Times New Roman" w:hAnsi="Times New Roman" w:eastAsia="宋体" w:cs="宋体"/>
                <w:b w:val="0"/>
                <w:bCs/>
                <w:color w:val="0C0C0C"/>
                <w:kern w:val="0"/>
                <w:sz w:val="21"/>
                <w:szCs w:val="21"/>
                <w:highlight w:val="none"/>
                <w:lang w:val="en-US" w:eastAsia="zh-CN" w:bidi="ar"/>
              </w:rPr>
              <w:t>其他统计类别</w:t>
            </w:r>
          </w:p>
        </w:tc>
        <w:tc>
          <w:tcPr>
            <w:tcW w:w="2471"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宋体"/>
                <w:i w:val="0"/>
                <w:iCs w:val="0"/>
                <w:color w:val="000000"/>
                <w:kern w:val="0"/>
                <w:sz w:val="21"/>
                <w:szCs w:val="21"/>
                <w:u w:val="none"/>
                <w:lang w:val="en-US" w:eastAsia="zh-CN" w:bidi="ar"/>
              </w:rPr>
            </w:pPr>
            <w:r>
              <w:rPr>
                <w:rFonts w:hint="default" w:ascii="Times New Roman" w:hAnsi="Times New Roman" w:eastAsia="宋体" w:cs="Times New Roman"/>
                <w:b w:val="0"/>
                <w:bCs w:val="0"/>
                <w:color w:val="0C0C0C"/>
                <w:kern w:val="2"/>
                <w:sz w:val="21"/>
                <w:szCs w:val="21"/>
                <w:highlight w:val="none"/>
                <w:lang w:val="en-US" w:eastAsia="zh-CN" w:bidi="ar-SA"/>
              </w:rPr>
              <w:t>—</w:t>
            </w:r>
          </w:p>
        </w:tc>
        <w:tc>
          <w:tcPr>
            <w:tcW w:w="2473" w:type="dxa"/>
            <w:tcBorders>
              <w:top w:val="nil"/>
              <w:left w:val="single" w:color="auto" w:sz="4" w:space="0"/>
              <w:bottom w:val="single" w:color="auto" w:sz="12" w:space="0"/>
              <w:right w:val="nil"/>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宋体"/>
                <w:i w:val="0"/>
                <w:iCs w:val="0"/>
                <w:color w:val="000000"/>
                <w:kern w:val="0"/>
                <w:sz w:val="21"/>
                <w:szCs w:val="21"/>
                <w:u w:val="none"/>
                <w:lang w:val="en-US" w:eastAsia="zh-CN" w:bidi="ar"/>
              </w:rPr>
            </w:pPr>
            <w:r>
              <w:rPr>
                <w:rFonts w:hint="default" w:ascii="Times New Roman" w:hAnsi="Times New Roman" w:eastAsia="宋体" w:cs="Times New Roman"/>
                <w:b w:val="0"/>
                <w:bCs w:val="0"/>
                <w:color w:val="0C0C0C"/>
                <w:kern w:val="2"/>
                <w:sz w:val="21"/>
                <w:szCs w:val="21"/>
                <w:highlight w:val="none"/>
                <w:lang w:val="en-US" w:eastAsia="zh-CN" w:bidi="ar-SA"/>
              </w:rPr>
              <w:t>—</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楷体_GB2312" w:hAnsi="楷体_GB2312" w:eastAsia="楷体_GB2312" w:cs="楷体_GB2312"/>
          <w:i w:val="0"/>
          <w:caps w:val="0"/>
          <w:color w:val="0C0C0C"/>
          <w:spacing w:val="0"/>
          <w:kern w:val="0"/>
          <w:sz w:val="32"/>
          <w:szCs w:val="32"/>
          <w:highlight w:val="none"/>
          <w:lang w:bidi="ar"/>
        </w:rPr>
      </w:pPr>
      <w:r>
        <w:rPr>
          <w:rFonts w:hint="eastAsia" w:ascii="楷体_GB2312" w:hAnsi="楷体_GB2312" w:eastAsia="楷体_GB2312" w:cs="楷体_GB2312"/>
          <w:i w:val="0"/>
          <w:caps w:val="0"/>
          <w:color w:val="0C0C0C"/>
          <w:spacing w:val="0"/>
          <w:kern w:val="0"/>
          <w:sz w:val="32"/>
          <w:szCs w:val="32"/>
          <w:highlight w:val="none"/>
          <w:lang w:val="en-US" w:eastAsia="zh-CN" w:bidi="ar"/>
        </w:rPr>
        <w:t>（二）主要经济指标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2023年末，全区房地产业企业法人单位资产总计</w:t>
      </w:r>
      <w:r>
        <w:rPr>
          <w:rFonts w:hint="eastAsia" w:ascii="Times New Roman" w:hAnsi="Times New Roman" w:eastAsia="仿宋_GB2312" w:cs="仿宋_GB2312"/>
          <w:color w:val="0C0C0C"/>
          <w:sz w:val="32"/>
          <w:szCs w:val="32"/>
          <w:u w:val="none"/>
          <w:lang w:val="en-US" w:eastAsia="zh-CN"/>
        </w:rPr>
        <w:t>5344.94</w:t>
      </w:r>
      <w:r>
        <w:rPr>
          <w:rFonts w:hint="eastAsia" w:ascii="Times New Roman" w:hAnsi="Times New Roman" w:eastAsia="仿宋_GB2312" w:cs="仿宋_GB2312"/>
          <w:color w:val="0C0C0C"/>
          <w:spacing w:val="-6"/>
          <w:kern w:val="2"/>
          <w:sz w:val="32"/>
          <w:szCs w:val="32"/>
          <w:u w:val="none"/>
          <w:lang w:val="en-US" w:eastAsia="zh-CN" w:bidi="ar-SA"/>
        </w:rPr>
        <w:t>亿元，比2018年末增长</w:t>
      </w:r>
      <w:r>
        <w:rPr>
          <w:rFonts w:hint="eastAsia" w:ascii="Times New Roman" w:hAnsi="Times New Roman" w:eastAsia="仿宋_GB2312" w:cs="仿宋_GB2312"/>
          <w:color w:val="0C0C0C"/>
          <w:sz w:val="32"/>
          <w:szCs w:val="32"/>
          <w:u w:val="none"/>
          <w:lang w:val="en-US" w:eastAsia="zh-CN"/>
        </w:rPr>
        <w:t>30.3</w:t>
      </w:r>
      <w:r>
        <w:rPr>
          <w:rFonts w:hint="eastAsia" w:ascii="Times New Roman" w:hAnsi="Times New Roman" w:eastAsia="仿宋_GB2312" w:cs="仿宋_GB2312"/>
          <w:color w:val="0C0C0C"/>
          <w:spacing w:val="-6"/>
          <w:kern w:val="2"/>
          <w:sz w:val="32"/>
          <w:szCs w:val="32"/>
          <w:u w:val="none"/>
          <w:lang w:val="en-US" w:eastAsia="zh-CN" w:bidi="ar-SA"/>
        </w:rPr>
        <w:t>%。其中，房地产开发经营企业</w:t>
      </w:r>
      <w:r>
        <w:rPr>
          <w:rFonts w:hint="eastAsia" w:ascii="Times New Roman" w:hAnsi="Times New Roman" w:eastAsia="仿宋_GB2312" w:cs="仿宋_GB2312"/>
          <w:color w:val="0C0C0C"/>
          <w:sz w:val="32"/>
          <w:szCs w:val="32"/>
          <w:u w:val="none"/>
          <w:lang w:val="en-US" w:eastAsia="zh-CN"/>
        </w:rPr>
        <w:t>4635.60</w:t>
      </w:r>
      <w:r>
        <w:rPr>
          <w:rFonts w:hint="eastAsia" w:ascii="Times New Roman" w:hAnsi="Times New Roman" w:eastAsia="仿宋_GB2312" w:cs="仿宋_GB2312"/>
          <w:color w:val="0C0C0C"/>
          <w:spacing w:val="-6"/>
          <w:kern w:val="2"/>
          <w:sz w:val="32"/>
          <w:szCs w:val="32"/>
          <w:u w:val="none"/>
          <w:lang w:val="en-US" w:eastAsia="zh-CN" w:bidi="ar-SA"/>
        </w:rPr>
        <w:t>亿元，比2018年末增长</w:t>
      </w:r>
      <w:r>
        <w:rPr>
          <w:rFonts w:hint="eastAsia" w:ascii="Times New Roman" w:hAnsi="Times New Roman" w:eastAsia="仿宋_GB2312" w:cs="仿宋_GB2312"/>
          <w:color w:val="0C0C0C"/>
          <w:sz w:val="32"/>
          <w:szCs w:val="32"/>
          <w:u w:val="none"/>
          <w:lang w:val="en-US" w:eastAsia="zh-CN"/>
        </w:rPr>
        <w:t>20.6</w:t>
      </w:r>
      <w:r>
        <w:rPr>
          <w:rFonts w:hint="eastAsia" w:ascii="Times New Roman" w:hAnsi="Times New Roman" w:eastAsia="仿宋_GB2312" w:cs="仿宋_GB2312"/>
          <w:color w:val="0C0C0C"/>
          <w:spacing w:val="-6"/>
          <w:kern w:val="2"/>
          <w:sz w:val="32"/>
          <w:szCs w:val="32"/>
          <w:u w:val="none"/>
          <w:lang w:val="en-US" w:eastAsia="zh-CN" w:bidi="ar-SA"/>
        </w:rPr>
        <w:t>%；物业管理企业</w:t>
      </w:r>
      <w:r>
        <w:rPr>
          <w:rFonts w:hint="eastAsia" w:ascii="Times New Roman" w:hAnsi="Times New Roman" w:eastAsia="仿宋_GB2312" w:cs="仿宋_GB2312"/>
          <w:color w:val="0C0C0C"/>
          <w:sz w:val="32"/>
          <w:szCs w:val="32"/>
          <w:u w:val="none"/>
          <w:lang w:val="en-US" w:eastAsia="zh-CN"/>
        </w:rPr>
        <w:t>70.11</w:t>
      </w:r>
      <w:r>
        <w:rPr>
          <w:rFonts w:hint="eastAsia" w:ascii="Times New Roman" w:hAnsi="Times New Roman" w:eastAsia="仿宋_GB2312" w:cs="仿宋_GB2312"/>
          <w:color w:val="0C0C0C"/>
          <w:spacing w:val="-6"/>
          <w:kern w:val="2"/>
          <w:sz w:val="32"/>
          <w:szCs w:val="32"/>
          <w:u w:val="none"/>
          <w:lang w:val="en-US" w:eastAsia="zh-CN" w:bidi="ar-SA"/>
        </w:rPr>
        <w:t>亿元，比2018年末下降</w:t>
      </w:r>
      <w:r>
        <w:rPr>
          <w:rFonts w:hint="eastAsia" w:ascii="Times New Roman" w:hAnsi="Times New Roman" w:eastAsia="仿宋_GB2312" w:cs="仿宋_GB2312"/>
          <w:color w:val="0C0C0C"/>
          <w:sz w:val="32"/>
          <w:szCs w:val="32"/>
          <w:u w:val="none"/>
          <w:lang w:val="en-US" w:eastAsia="zh-CN"/>
        </w:rPr>
        <w:t>13.1</w:t>
      </w:r>
      <w:r>
        <w:rPr>
          <w:rFonts w:hint="eastAsia" w:ascii="Times New Roman" w:hAnsi="Times New Roman" w:eastAsia="仿宋_GB2312" w:cs="仿宋_GB2312"/>
          <w:color w:val="0C0C0C"/>
          <w:spacing w:val="-6"/>
          <w:kern w:val="2"/>
          <w:sz w:val="32"/>
          <w:szCs w:val="32"/>
          <w:u w:val="none"/>
          <w:lang w:val="en-US" w:eastAsia="zh-CN" w:bidi="ar-SA"/>
        </w:rPr>
        <w:t>%；房地产中介服务企业</w:t>
      </w:r>
      <w:r>
        <w:rPr>
          <w:rFonts w:hint="eastAsia" w:ascii="Times New Roman" w:hAnsi="Times New Roman" w:eastAsia="仿宋_GB2312" w:cs="仿宋_GB2312"/>
          <w:color w:val="0C0C0C"/>
          <w:sz w:val="32"/>
          <w:szCs w:val="32"/>
          <w:u w:val="none"/>
          <w:lang w:val="en-US" w:eastAsia="zh-CN"/>
        </w:rPr>
        <w:t>59.53</w:t>
      </w:r>
      <w:r>
        <w:rPr>
          <w:rFonts w:hint="eastAsia" w:ascii="Times New Roman" w:hAnsi="Times New Roman" w:eastAsia="仿宋_GB2312" w:cs="仿宋_GB2312"/>
          <w:color w:val="0C0C0C"/>
          <w:spacing w:val="-6"/>
          <w:kern w:val="2"/>
          <w:sz w:val="32"/>
          <w:szCs w:val="32"/>
          <w:u w:val="none"/>
          <w:lang w:val="en-US" w:eastAsia="zh-CN" w:bidi="ar-SA"/>
        </w:rPr>
        <w:t>亿元，比2018年末增长</w:t>
      </w:r>
      <w:r>
        <w:rPr>
          <w:rFonts w:hint="eastAsia" w:ascii="Times New Roman" w:hAnsi="Times New Roman" w:eastAsia="仿宋_GB2312" w:cs="仿宋_GB2312"/>
          <w:color w:val="0C0C0C"/>
          <w:sz w:val="32"/>
          <w:szCs w:val="32"/>
          <w:u w:val="none"/>
          <w:lang w:val="en-US" w:eastAsia="zh-CN"/>
        </w:rPr>
        <w:t>1.6倍</w:t>
      </w:r>
      <w:r>
        <w:rPr>
          <w:rFonts w:hint="eastAsia" w:ascii="Times New Roman" w:hAnsi="Times New Roman" w:eastAsia="仿宋_GB2312" w:cs="仿宋_GB2312"/>
          <w:color w:val="0C0C0C"/>
          <w:spacing w:val="-6"/>
          <w:kern w:val="2"/>
          <w:sz w:val="32"/>
          <w:szCs w:val="32"/>
          <w:u w:val="none"/>
          <w:lang w:val="en-US" w:eastAsia="zh-CN" w:bidi="ar-SA"/>
        </w:rPr>
        <w:t>。房地产业企业法人单位负债合计</w:t>
      </w:r>
      <w:r>
        <w:rPr>
          <w:rFonts w:hint="eastAsia" w:ascii="Times New Roman" w:hAnsi="Times New Roman" w:eastAsia="仿宋_GB2312" w:cs="仿宋_GB2312"/>
          <w:color w:val="0C0C0C"/>
          <w:sz w:val="32"/>
          <w:szCs w:val="32"/>
          <w:u w:val="none"/>
          <w:lang w:val="en-US" w:eastAsia="zh-CN"/>
        </w:rPr>
        <w:t>3936.45</w:t>
      </w:r>
      <w:r>
        <w:rPr>
          <w:rFonts w:hint="eastAsia" w:ascii="Times New Roman" w:hAnsi="Times New Roman" w:eastAsia="仿宋_GB2312" w:cs="仿宋_GB2312"/>
          <w:color w:val="0C0C0C"/>
          <w:spacing w:val="-6"/>
          <w:kern w:val="2"/>
          <w:sz w:val="32"/>
          <w:szCs w:val="32"/>
          <w:u w:val="none"/>
          <w:lang w:val="en-US" w:eastAsia="zh-CN" w:bidi="ar-SA"/>
        </w:rPr>
        <w:t>亿元，比2018年末增长</w:t>
      </w:r>
      <w:r>
        <w:rPr>
          <w:rFonts w:hint="eastAsia" w:ascii="Times New Roman" w:hAnsi="Times New Roman" w:eastAsia="仿宋_GB2312" w:cs="仿宋_GB2312"/>
          <w:color w:val="0C0C0C"/>
          <w:sz w:val="32"/>
          <w:szCs w:val="32"/>
          <w:u w:val="none"/>
          <w:lang w:val="en-US" w:eastAsia="zh-CN"/>
        </w:rPr>
        <w:t>14.3</w:t>
      </w:r>
      <w:r>
        <w:rPr>
          <w:rFonts w:hint="eastAsia" w:ascii="Times New Roman" w:hAnsi="Times New Roman" w:eastAsia="仿宋_GB2312" w:cs="仿宋_GB2312"/>
          <w:color w:val="0C0C0C"/>
          <w:spacing w:val="-6"/>
          <w:kern w:val="2"/>
          <w:sz w:val="32"/>
          <w:szCs w:val="32"/>
          <w:u w:val="none"/>
          <w:lang w:val="en-US" w:eastAsia="zh-CN" w:bidi="ar-SA"/>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color w:val="0C0C0C"/>
          <w:spacing w:val="-6"/>
          <w:kern w:val="2"/>
          <w:sz w:val="32"/>
          <w:szCs w:val="32"/>
          <w:u w:val="none"/>
          <w:lang w:val="en-US" w:eastAsia="zh-CN" w:bidi="ar-SA"/>
        </w:rPr>
        <w:t>2023年，房地产业企业法人单位全年实现营业收入</w:t>
      </w:r>
      <w:r>
        <w:rPr>
          <w:rFonts w:hint="eastAsia" w:ascii="Times New Roman" w:hAnsi="Times New Roman" w:eastAsia="仿宋_GB2312" w:cs="仿宋_GB2312"/>
          <w:color w:val="0C0C0C"/>
          <w:sz w:val="32"/>
          <w:szCs w:val="32"/>
          <w:u w:val="none"/>
          <w:lang w:val="en-US" w:eastAsia="zh-CN"/>
        </w:rPr>
        <w:t>496.42</w:t>
      </w:r>
      <w:r>
        <w:rPr>
          <w:rFonts w:hint="eastAsia" w:ascii="Times New Roman" w:hAnsi="Times New Roman" w:eastAsia="仿宋_GB2312" w:cs="仿宋_GB2312"/>
          <w:color w:val="0C0C0C"/>
          <w:spacing w:val="-6"/>
          <w:kern w:val="2"/>
          <w:sz w:val="32"/>
          <w:szCs w:val="32"/>
          <w:u w:val="none"/>
          <w:lang w:val="en-US" w:eastAsia="zh-CN" w:bidi="ar-SA"/>
        </w:rPr>
        <w:t>亿元，比2018年增长</w:t>
      </w:r>
      <w:r>
        <w:rPr>
          <w:rFonts w:hint="eastAsia" w:ascii="Times New Roman" w:hAnsi="Times New Roman" w:eastAsia="仿宋_GB2312" w:cs="仿宋_GB2312"/>
          <w:color w:val="0C0C0C"/>
          <w:sz w:val="32"/>
          <w:szCs w:val="32"/>
          <w:u w:val="none"/>
          <w:lang w:val="en-US" w:eastAsia="zh-CN"/>
        </w:rPr>
        <w:t>24.8</w:t>
      </w:r>
      <w:r>
        <w:rPr>
          <w:rFonts w:hint="eastAsia" w:ascii="Times New Roman" w:hAnsi="Times New Roman" w:eastAsia="仿宋_GB2312" w:cs="仿宋_GB2312"/>
          <w:color w:val="0C0C0C"/>
          <w:spacing w:val="-6"/>
          <w:kern w:val="2"/>
          <w:sz w:val="32"/>
          <w:szCs w:val="32"/>
          <w:u w:val="none"/>
          <w:lang w:val="en-US" w:eastAsia="zh-CN" w:bidi="ar-SA"/>
        </w:rPr>
        <w:t>%（详见表4-15）。</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44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表4-1</w:t>
      </w:r>
      <w:r>
        <w:rPr>
          <w:rFonts w:hint="eastAsia" w:ascii="Times New Roman" w:hAnsi="Times New Roman" w:cs="宋体"/>
          <w:b/>
          <w:i w:val="0"/>
          <w:caps w:val="0"/>
          <w:color w:val="0C0C0C"/>
          <w:spacing w:val="0"/>
          <w:kern w:val="0"/>
          <w:sz w:val="24"/>
          <w:szCs w:val="24"/>
          <w:highlight w:val="none"/>
          <w:lang w:val="en-US" w:eastAsia="zh-CN" w:bidi="ar"/>
        </w:rPr>
        <w:t>5</w:t>
      </w:r>
      <w:r>
        <w:rPr>
          <w:rFonts w:hint="eastAsia" w:ascii="Times New Roman" w:hAnsi="Times New Roman" w:eastAsia="宋体" w:cs="宋体"/>
          <w:b/>
          <w:i w:val="0"/>
          <w:caps w:val="0"/>
          <w:color w:val="0C0C0C"/>
          <w:spacing w:val="0"/>
          <w:kern w:val="0"/>
          <w:sz w:val="24"/>
          <w:szCs w:val="24"/>
          <w:highlight w:val="none"/>
          <w:lang w:val="en-US" w:eastAsia="zh-CN" w:bidi="ar"/>
        </w:rPr>
        <w:t>　按行业中类分组的房地产业企业法人单位主要经济指标</w:t>
      </w:r>
    </w:p>
    <w:tbl>
      <w:tblPr>
        <w:tblStyle w:val="11"/>
        <w:tblW w:w="8732"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3807"/>
        <w:gridCol w:w="1641"/>
        <w:gridCol w:w="1641"/>
        <w:gridCol w:w="1643"/>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3" w:hRule="atLeast"/>
          <w:jc w:val="center"/>
        </w:trPr>
        <w:tc>
          <w:tcPr>
            <w:tcW w:w="3807" w:type="dxa"/>
            <w:tcBorders>
              <w:top w:val="single" w:color="auto" w:sz="12" w:space="0"/>
              <w:left w:val="nil"/>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　</w:t>
            </w:r>
          </w:p>
        </w:tc>
        <w:tc>
          <w:tcPr>
            <w:tcW w:w="1641"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资产总计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（亿元）</w:t>
            </w:r>
          </w:p>
        </w:tc>
        <w:tc>
          <w:tcPr>
            <w:tcW w:w="1641"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负债合计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（亿元）</w:t>
            </w:r>
          </w:p>
        </w:tc>
        <w:tc>
          <w:tcPr>
            <w:tcW w:w="1643" w:type="dxa"/>
            <w:tcBorders>
              <w:top w:val="single" w:color="auto" w:sz="12" w:space="0"/>
              <w:left w:val="single" w:color="auto" w:sz="4" w:space="0"/>
              <w:bottom w:val="single" w:color="auto" w:sz="4"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营业收入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（亿元）</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07" w:type="dxa"/>
            <w:tcBorders>
              <w:top w:val="single" w:color="auto" w:sz="4" w:space="0"/>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1641"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i w:val="0"/>
                <w:color w:val="0C0C0C"/>
                <w:kern w:val="0"/>
                <w:sz w:val="21"/>
                <w:szCs w:val="21"/>
                <w:highlight w:val="none"/>
                <w:u w:val="none"/>
                <w:lang w:val="en" w:eastAsia="zh-CN" w:bidi="ar"/>
              </w:rPr>
            </w:pPr>
            <w:r>
              <w:rPr>
                <w:rFonts w:hint="eastAsia" w:ascii="Times New Roman" w:hAnsi="Times New Roman" w:eastAsia="宋体" w:cs="宋体"/>
                <w:b/>
                <w:bCs/>
                <w:i w:val="0"/>
                <w:iCs w:val="0"/>
                <w:color w:val="000000"/>
                <w:kern w:val="0"/>
                <w:sz w:val="21"/>
                <w:szCs w:val="21"/>
                <w:u w:val="none"/>
                <w:lang w:val="en-US" w:eastAsia="zh-CN" w:bidi="ar"/>
              </w:rPr>
              <w:t xml:space="preserve">5344.94 </w:t>
            </w:r>
          </w:p>
        </w:tc>
        <w:tc>
          <w:tcPr>
            <w:tcW w:w="1641"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i w:val="0"/>
                <w:color w:val="0C0C0C"/>
                <w:kern w:val="0"/>
                <w:sz w:val="21"/>
                <w:szCs w:val="21"/>
                <w:highlight w:val="none"/>
                <w:u w:val="none"/>
                <w:lang w:val="en" w:eastAsia="zh-CN" w:bidi="ar"/>
              </w:rPr>
            </w:pPr>
            <w:r>
              <w:rPr>
                <w:rFonts w:hint="eastAsia" w:ascii="Times New Roman" w:hAnsi="Times New Roman" w:eastAsia="宋体" w:cs="宋体"/>
                <w:b/>
                <w:bCs/>
                <w:i w:val="0"/>
                <w:iCs w:val="0"/>
                <w:color w:val="000000"/>
                <w:kern w:val="0"/>
                <w:sz w:val="21"/>
                <w:szCs w:val="21"/>
                <w:u w:val="none"/>
                <w:lang w:val="en-US" w:eastAsia="zh-CN" w:bidi="ar"/>
              </w:rPr>
              <w:t xml:space="preserve">3936.45 </w:t>
            </w:r>
          </w:p>
        </w:tc>
        <w:tc>
          <w:tcPr>
            <w:tcW w:w="1643" w:type="dxa"/>
            <w:tcBorders>
              <w:top w:val="single" w:color="auto" w:sz="4" w:space="0"/>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i w:val="0"/>
                <w:color w:val="0C0C0C"/>
                <w:kern w:val="0"/>
                <w:sz w:val="21"/>
                <w:szCs w:val="21"/>
                <w:highlight w:val="none"/>
                <w:u w:val="none"/>
                <w:lang w:val="en" w:eastAsia="zh-CN" w:bidi="ar"/>
              </w:rPr>
            </w:pPr>
            <w:r>
              <w:rPr>
                <w:rFonts w:hint="eastAsia" w:ascii="Times New Roman" w:hAnsi="Times New Roman" w:eastAsia="宋体" w:cs="宋体"/>
                <w:b/>
                <w:bCs/>
                <w:i w:val="0"/>
                <w:iCs w:val="0"/>
                <w:color w:val="000000"/>
                <w:kern w:val="0"/>
                <w:sz w:val="21"/>
                <w:szCs w:val="21"/>
                <w:u w:val="none"/>
                <w:lang w:val="en-US" w:eastAsia="zh-CN" w:bidi="ar"/>
              </w:rPr>
              <w:t xml:space="preserve">496.42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07"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房地产开发经营</w:t>
            </w:r>
          </w:p>
        </w:tc>
        <w:tc>
          <w:tcPr>
            <w:tcW w:w="164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4635.60 </w:t>
            </w:r>
          </w:p>
        </w:tc>
        <w:tc>
          <w:tcPr>
            <w:tcW w:w="164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3446.51 </w:t>
            </w:r>
          </w:p>
        </w:tc>
        <w:tc>
          <w:tcPr>
            <w:tcW w:w="164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426.66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07"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物业管理</w:t>
            </w:r>
          </w:p>
        </w:tc>
        <w:tc>
          <w:tcPr>
            <w:tcW w:w="164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70.11 </w:t>
            </w:r>
          </w:p>
        </w:tc>
        <w:tc>
          <w:tcPr>
            <w:tcW w:w="164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61.62 </w:t>
            </w:r>
          </w:p>
        </w:tc>
        <w:tc>
          <w:tcPr>
            <w:tcW w:w="164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27.59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07"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房地产中介服务</w:t>
            </w:r>
          </w:p>
        </w:tc>
        <w:tc>
          <w:tcPr>
            <w:tcW w:w="164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59.53 </w:t>
            </w:r>
          </w:p>
        </w:tc>
        <w:tc>
          <w:tcPr>
            <w:tcW w:w="164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48.65 </w:t>
            </w:r>
          </w:p>
        </w:tc>
        <w:tc>
          <w:tcPr>
            <w:tcW w:w="164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11.08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07"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房地产租赁经营</w:t>
            </w:r>
          </w:p>
        </w:tc>
        <w:tc>
          <w:tcPr>
            <w:tcW w:w="164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502.95 </w:t>
            </w:r>
          </w:p>
        </w:tc>
        <w:tc>
          <w:tcPr>
            <w:tcW w:w="164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321.93 </w:t>
            </w:r>
          </w:p>
        </w:tc>
        <w:tc>
          <w:tcPr>
            <w:tcW w:w="164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30.66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07" w:type="dxa"/>
            <w:tcBorders>
              <w:top w:val="nil"/>
              <w:left w:val="nil"/>
              <w:bottom w:val="single" w:color="auto" w:sz="12"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其他房地产业</w:t>
            </w:r>
          </w:p>
        </w:tc>
        <w:tc>
          <w:tcPr>
            <w:tcW w:w="1641"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76.74 </w:t>
            </w:r>
          </w:p>
        </w:tc>
        <w:tc>
          <w:tcPr>
            <w:tcW w:w="1641"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57.74 </w:t>
            </w:r>
          </w:p>
        </w:tc>
        <w:tc>
          <w:tcPr>
            <w:tcW w:w="1643" w:type="dxa"/>
            <w:tcBorders>
              <w:top w:val="nil"/>
              <w:left w:val="single" w:color="auto" w:sz="4" w:space="0"/>
              <w:bottom w:val="single" w:color="auto" w:sz="12" w:space="0"/>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0.44 </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黑体" w:hAnsi="黑体" w:eastAsia="黑体" w:cs="黑体"/>
          <w:color w:val="0C0C0C"/>
          <w:kern w:val="0"/>
          <w:sz w:val="32"/>
          <w:szCs w:val="32"/>
          <w:u w:val="none"/>
          <w:lang w:val="en-US" w:eastAsia="zh-CN" w:bidi="ar-SA"/>
        </w:rPr>
      </w:pPr>
      <w:r>
        <w:rPr>
          <w:rFonts w:hint="eastAsia" w:ascii="黑体" w:hAnsi="黑体" w:eastAsia="黑体" w:cs="黑体"/>
          <w:color w:val="0C0C0C"/>
          <w:kern w:val="0"/>
          <w:sz w:val="32"/>
          <w:szCs w:val="32"/>
          <w:u w:val="none"/>
          <w:lang w:val="en-US" w:eastAsia="zh-CN" w:bidi="ar-SA"/>
        </w:rPr>
        <w:t>六、租赁和商务服务业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楷体_GB2312" w:hAnsi="楷体_GB2312" w:eastAsia="楷体_GB2312" w:cs="楷体_GB2312"/>
          <w:i w:val="0"/>
          <w:caps w:val="0"/>
          <w:color w:val="0C0C0C"/>
          <w:spacing w:val="0"/>
          <w:kern w:val="0"/>
          <w:sz w:val="32"/>
          <w:szCs w:val="32"/>
          <w:highlight w:val="none"/>
          <w:lang w:bidi="ar"/>
        </w:rPr>
      </w:pPr>
      <w:r>
        <w:rPr>
          <w:rFonts w:hint="eastAsia" w:ascii="楷体_GB2312" w:hAnsi="楷体_GB2312" w:eastAsia="楷体_GB2312" w:cs="楷体_GB2312"/>
          <w:i w:val="0"/>
          <w:caps w:val="0"/>
          <w:color w:val="0C0C0C"/>
          <w:spacing w:val="0"/>
          <w:kern w:val="0"/>
          <w:sz w:val="32"/>
          <w:szCs w:val="32"/>
          <w:highlight w:val="none"/>
          <w:lang w:val="en-US" w:eastAsia="zh-CN" w:bidi="ar"/>
        </w:rPr>
        <w:t>（一）企业法人单位数和从业人员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2023年末，全区共有租赁和商务服务业企业法人单位</w:t>
      </w:r>
      <w:r>
        <w:rPr>
          <w:rFonts w:hint="eastAsia" w:ascii="Times New Roman" w:hAnsi="Times New Roman" w:eastAsia="仿宋_GB2312" w:cs="仿宋_GB2312"/>
          <w:color w:val="0C0C0C"/>
          <w:sz w:val="32"/>
          <w:szCs w:val="32"/>
          <w:u w:val="none"/>
          <w:lang w:val="en-US" w:eastAsia="zh-CN"/>
        </w:rPr>
        <w:t>11014</w:t>
      </w:r>
      <w:r>
        <w:rPr>
          <w:rFonts w:hint="eastAsia" w:ascii="Times New Roman" w:hAnsi="Times New Roman" w:eastAsia="仿宋_GB2312" w:cs="仿宋_GB2312"/>
          <w:color w:val="0C0C0C"/>
          <w:spacing w:val="-6"/>
          <w:kern w:val="2"/>
          <w:sz w:val="32"/>
          <w:szCs w:val="32"/>
          <w:u w:val="none"/>
          <w:lang w:val="en-US" w:eastAsia="zh-CN" w:bidi="ar-SA"/>
        </w:rPr>
        <w:t>个，从业人员</w:t>
      </w:r>
      <w:r>
        <w:rPr>
          <w:rFonts w:hint="eastAsia" w:ascii="Times New Roman" w:hAnsi="Times New Roman" w:eastAsia="仿宋_GB2312" w:cs="仿宋_GB2312"/>
          <w:color w:val="0C0C0C"/>
          <w:sz w:val="32"/>
          <w:szCs w:val="32"/>
          <w:u w:val="none"/>
          <w:lang w:val="en-US" w:eastAsia="zh-CN"/>
        </w:rPr>
        <w:t>4.77万</w:t>
      </w:r>
      <w:r>
        <w:rPr>
          <w:rFonts w:hint="eastAsia" w:ascii="Times New Roman" w:hAnsi="Times New Roman" w:eastAsia="仿宋_GB2312" w:cs="仿宋_GB2312"/>
          <w:color w:val="0C0C0C"/>
          <w:spacing w:val="-6"/>
          <w:kern w:val="2"/>
          <w:sz w:val="32"/>
          <w:szCs w:val="32"/>
          <w:u w:val="none"/>
          <w:lang w:val="en-US" w:eastAsia="zh-CN" w:bidi="ar-SA"/>
        </w:rPr>
        <w:t>人，分别比2018年末增长</w:t>
      </w:r>
      <w:r>
        <w:rPr>
          <w:rFonts w:hint="eastAsia" w:ascii="Times New Roman" w:hAnsi="Times New Roman" w:eastAsia="仿宋_GB2312" w:cs="仿宋_GB2312"/>
          <w:color w:val="0C0C0C"/>
          <w:sz w:val="32"/>
          <w:szCs w:val="32"/>
          <w:u w:val="none"/>
          <w:lang w:val="en-US" w:eastAsia="zh-CN"/>
        </w:rPr>
        <w:t>67.5</w:t>
      </w:r>
      <w:r>
        <w:rPr>
          <w:rFonts w:hint="eastAsia" w:ascii="Times New Roman" w:hAnsi="Times New Roman" w:eastAsia="仿宋_GB2312" w:cs="仿宋_GB2312"/>
          <w:color w:val="0C0C0C"/>
          <w:spacing w:val="-6"/>
          <w:kern w:val="2"/>
          <w:sz w:val="32"/>
          <w:szCs w:val="32"/>
          <w:u w:val="none"/>
          <w:lang w:val="en-US" w:eastAsia="zh-CN" w:bidi="ar-SA"/>
        </w:rPr>
        <w:t>%和1</w:t>
      </w:r>
      <w:r>
        <w:rPr>
          <w:rFonts w:hint="eastAsia" w:ascii="Times New Roman" w:hAnsi="Times New Roman" w:eastAsia="仿宋_GB2312" w:cs="仿宋_GB2312"/>
          <w:color w:val="0C0C0C"/>
          <w:sz w:val="32"/>
          <w:szCs w:val="32"/>
          <w:u w:val="none"/>
          <w:lang w:val="en-US" w:eastAsia="zh-CN"/>
        </w:rPr>
        <w:t>9.7</w:t>
      </w:r>
      <w:r>
        <w:rPr>
          <w:rFonts w:hint="eastAsia" w:ascii="Times New Roman" w:hAnsi="Times New Roman" w:eastAsia="仿宋_GB2312" w:cs="仿宋_GB2312"/>
          <w:color w:val="0C0C0C"/>
          <w:spacing w:val="-6"/>
          <w:kern w:val="2"/>
          <w:sz w:val="32"/>
          <w:szCs w:val="32"/>
          <w:u w:val="none"/>
          <w:lang w:val="en-US" w:eastAsia="zh-CN" w:bidi="ar-SA"/>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在租赁和商务服务业企业法人单位中，租赁业占</w:t>
      </w:r>
      <w:r>
        <w:rPr>
          <w:rFonts w:hint="eastAsia" w:ascii="Times New Roman" w:hAnsi="Times New Roman" w:eastAsia="仿宋_GB2312" w:cs="仿宋_GB2312"/>
          <w:color w:val="0C0C0C"/>
          <w:sz w:val="32"/>
          <w:szCs w:val="32"/>
          <w:u w:val="none"/>
          <w:lang w:val="en-US" w:eastAsia="zh-CN"/>
        </w:rPr>
        <w:t>8.3</w:t>
      </w:r>
      <w:r>
        <w:rPr>
          <w:rFonts w:hint="eastAsia" w:ascii="Times New Roman" w:hAnsi="Times New Roman" w:eastAsia="仿宋_GB2312" w:cs="仿宋_GB2312"/>
          <w:color w:val="0C0C0C"/>
          <w:spacing w:val="-6"/>
          <w:kern w:val="2"/>
          <w:sz w:val="32"/>
          <w:szCs w:val="32"/>
          <w:u w:val="none"/>
          <w:lang w:val="en-US" w:eastAsia="zh-CN" w:bidi="ar-SA"/>
        </w:rPr>
        <w:t>%，商务服务业占</w:t>
      </w:r>
      <w:r>
        <w:rPr>
          <w:rFonts w:hint="eastAsia" w:ascii="Times New Roman" w:hAnsi="Times New Roman" w:eastAsia="仿宋_GB2312" w:cs="仿宋_GB2312"/>
          <w:color w:val="0C0C0C"/>
          <w:sz w:val="32"/>
          <w:szCs w:val="32"/>
          <w:u w:val="none"/>
          <w:lang w:val="en-US" w:eastAsia="zh-CN"/>
        </w:rPr>
        <w:t>91.7</w:t>
      </w:r>
      <w:r>
        <w:rPr>
          <w:rFonts w:hint="eastAsia" w:ascii="Times New Roman" w:hAnsi="Times New Roman" w:eastAsia="仿宋_GB2312" w:cs="仿宋_GB2312"/>
          <w:color w:val="0C0C0C"/>
          <w:spacing w:val="-6"/>
          <w:kern w:val="2"/>
          <w:sz w:val="32"/>
          <w:szCs w:val="32"/>
          <w:u w:val="none"/>
          <w:lang w:val="en-US" w:eastAsia="zh-CN" w:bidi="ar-SA"/>
        </w:rPr>
        <w:t>%。在租赁和商务服务业企业法人单位从业人员中，租赁业占</w:t>
      </w:r>
      <w:r>
        <w:rPr>
          <w:rFonts w:hint="eastAsia" w:ascii="Times New Roman" w:hAnsi="Times New Roman" w:eastAsia="仿宋_GB2312" w:cs="仿宋_GB2312"/>
          <w:color w:val="0C0C0C"/>
          <w:sz w:val="32"/>
          <w:szCs w:val="32"/>
          <w:u w:val="none"/>
          <w:lang w:val="en-US" w:eastAsia="zh-CN"/>
        </w:rPr>
        <w:t>9.1</w:t>
      </w:r>
      <w:r>
        <w:rPr>
          <w:rFonts w:hint="eastAsia" w:ascii="Times New Roman" w:hAnsi="Times New Roman" w:eastAsia="仿宋_GB2312" w:cs="仿宋_GB2312"/>
          <w:color w:val="0C0C0C"/>
          <w:spacing w:val="-6"/>
          <w:kern w:val="2"/>
          <w:sz w:val="32"/>
          <w:szCs w:val="32"/>
          <w:u w:val="none"/>
          <w:lang w:val="en-US" w:eastAsia="zh-CN" w:bidi="ar-SA"/>
        </w:rPr>
        <w:t>%，商务服务业占</w:t>
      </w:r>
      <w:r>
        <w:rPr>
          <w:rFonts w:hint="eastAsia" w:ascii="Times New Roman" w:hAnsi="Times New Roman" w:eastAsia="仿宋_GB2312" w:cs="仿宋_GB2312"/>
          <w:color w:val="0C0C0C"/>
          <w:sz w:val="32"/>
          <w:szCs w:val="32"/>
          <w:u w:val="none"/>
          <w:lang w:val="en-US" w:eastAsia="zh-CN"/>
        </w:rPr>
        <w:t>90.9</w:t>
      </w:r>
      <w:r>
        <w:rPr>
          <w:rFonts w:hint="eastAsia" w:ascii="Times New Roman" w:hAnsi="Times New Roman" w:eastAsia="仿宋_GB2312" w:cs="仿宋_GB2312"/>
          <w:color w:val="0C0C0C"/>
          <w:spacing w:val="-6"/>
          <w:kern w:val="2"/>
          <w:sz w:val="32"/>
          <w:szCs w:val="32"/>
          <w:u w:val="none"/>
          <w:lang w:val="en-US" w:eastAsia="zh-CN" w:bidi="ar-SA"/>
        </w:rPr>
        <w:t>%（详见表4-16）。</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表4-1</w:t>
      </w:r>
      <w:r>
        <w:rPr>
          <w:rFonts w:hint="eastAsia" w:ascii="Times New Roman" w:hAnsi="Times New Roman" w:cs="宋体"/>
          <w:b/>
          <w:i w:val="0"/>
          <w:caps w:val="0"/>
          <w:color w:val="0C0C0C"/>
          <w:spacing w:val="0"/>
          <w:kern w:val="0"/>
          <w:sz w:val="24"/>
          <w:szCs w:val="24"/>
          <w:highlight w:val="none"/>
          <w:lang w:val="en-US" w:eastAsia="zh-CN" w:bidi="ar"/>
        </w:rPr>
        <w:t>6</w:t>
      </w:r>
      <w:r>
        <w:rPr>
          <w:rFonts w:hint="eastAsia" w:ascii="Times New Roman" w:hAnsi="Times New Roman" w:eastAsia="宋体" w:cs="宋体"/>
          <w:b/>
          <w:i w:val="0"/>
          <w:caps w:val="0"/>
          <w:color w:val="0C0C0C"/>
          <w:spacing w:val="0"/>
          <w:kern w:val="0"/>
          <w:sz w:val="24"/>
          <w:szCs w:val="24"/>
          <w:highlight w:val="none"/>
          <w:lang w:val="en-US" w:eastAsia="zh-CN" w:bidi="ar"/>
        </w:rPr>
        <w:t>　按行业大类分组的租赁和商务服务业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 xml:space="preserve">    企业法人单位数和从业人员</w:t>
      </w:r>
    </w:p>
    <w:tbl>
      <w:tblPr>
        <w:tblStyle w:val="11"/>
        <w:tblW w:w="8834"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3950"/>
        <w:gridCol w:w="2442"/>
        <w:gridCol w:w="2442"/>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3" w:hRule="atLeast"/>
          <w:jc w:val="center"/>
        </w:trPr>
        <w:tc>
          <w:tcPr>
            <w:tcW w:w="3950" w:type="dxa"/>
            <w:tcBorders>
              <w:top w:val="single" w:color="auto" w:sz="12" w:space="0"/>
              <w:left w:val="nil"/>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eastAsia" w:ascii="Times New Roman" w:hAnsi="Times New Roman" w:eastAsia="宋体" w:cs="宋体"/>
                <w:color w:val="0C0C0C"/>
                <w:sz w:val="21"/>
                <w:szCs w:val="21"/>
                <w:highlight w:val="none"/>
              </w:rPr>
            </w:pPr>
          </w:p>
        </w:tc>
        <w:tc>
          <w:tcPr>
            <w:tcW w:w="2442"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kern w:val="0"/>
                <w:sz w:val="21"/>
                <w:szCs w:val="21"/>
                <w:highlight w:val="none"/>
                <w:lang w:val="en-US" w:eastAsia="zh-CN" w:bidi="ar"/>
              </w:rPr>
            </w:pPr>
            <w:r>
              <w:rPr>
                <w:rFonts w:hint="eastAsia" w:ascii="Times New Roman" w:hAnsi="Times New Roman" w:eastAsia="宋体" w:cs="宋体"/>
                <w:b/>
                <w:bCs/>
                <w:color w:val="0C0C0C"/>
                <w:kern w:val="0"/>
                <w:sz w:val="21"/>
                <w:szCs w:val="21"/>
                <w:highlight w:val="none"/>
                <w:lang w:val="en-US" w:eastAsia="zh-CN" w:bidi="ar"/>
              </w:rPr>
              <w:t>企业法人单位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（个）</w:t>
            </w:r>
          </w:p>
        </w:tc>
        <w:tc>
          <w:tcPr>
            <w:tcW w:w="2442" w:type="dxa"/>
            <w:tcBorders>
              <w:top w:val="single" w:color="auto" w:sz="12" w:space="0"/>
              <w:left w:val="single" w:color="auto" w:sz="4" w:space="0"/>
              <w:bottom w:val="single" w:color="auto" w:sz="4"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kern w:val="0"/>
                <w:sz w:val="21"/>
                <w:szCs w:val="21"/>
                <w:highlight w:val="none"/>
                <w:lang w:val="en-US" w:eastAsia="zh-CN" w:bidi="ar"/>
              </w:rPr>
            </w:pPr>
            <w:r>
              <w:rPr>
                <w:rFonts w:hint="eastAsia" w:ascii="Times New Roman" w:hAnsi="Times New Roman" w:eastAsia="宋体" w:cs="宋体"/>
                <w:b/>
                <w:bCs/>
                <w:color w:val="0C0C0C"/>
                <w:kern w:val="0"/>
                <w:sz w:val="21"/>
                <w:szCs w:val="21"/>
                <w:highlight w:val="none"/>
                <w:lang w:val="en-US" w:eastAsia="zh-CN" w:bidi="ar"/>
              </w:rPr>
              <w:t>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950" w:type="dxa"/>
            <w:tcBorders>
              <w:top w:val="single" w:color="auto" w:sz="4" w:space="0"/>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2442"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11014</w:t>
            </w:r>
          </w:p>
        </w:tc>
        <w:tc>
          <w:tcPr>
            <w:tcW w:w="2442" w:type="dxa"/>
            <w:tcBorders>
              <w:top w:val="single" w:color="auto" w:sz="4" w:space="0"/>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47655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95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租赁业</w:t>
            </w:r>
          </w:p>
        </w:tc>
        <w:tc>
          <w:tcPr>
            <w:tcW w:w="2442"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918</w:t>
            </w:r>
          </w:p>
        </w:tc>
        <w:tc>
          <w:tcPr>
            <w:tcW w:w="2442"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4334</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950" w:type="dxa"/>
            <w:tcBorders>
              <w:top w:val="nil"/>
              <w:left w:val="nil"/>
              <w:bottom w:val="single" w:color="auto" w:sz="12"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商务服务业</w:t>
            </w:r>
          </w:p>
        </w:tc>
        <w:tc>
          <w:tcPr>
            <w:tcW w:w="2442"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10096</w:t>
            </w:r>
          </w:p>
        </w:tc>
        <w:tc>
          <w:tcPr>
            <w:tcW w:w="2442" w:type="dxa"/>
            <w:tcBorders>
              <w:top w:val="nil"/>
              <w:left w:val="single" w:color="auto" w:sz="4" w:space="0"/>
              <w:bottom w:val="single" w:color="auto" w:sz="12" w:space="0"/>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43321</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在租赁和商务服务业企业法人单位中，内资企业占</w:t>
      </w:r>
      <w:r>
        <w:rPr>
          <w:rFonts w:hint="eastAsia" w:ascii="Times New Roman" w:hAnsi="Times New Roman" w:eastAsia="仿宋_GB2312" w:cs="仿宋_GB2312"/>
          <w:color w:val="0C0C0C"/>
          <w:sz w:val="32"/>
          <w:szCs w:val="32"/>
          <w:u w:val="none"/>
          <w:lang w:val="en-US" w:eastAsia="zh-CN"/>
        </w:rPr>
        <w:t>99.3</w:t>
      </w:r>
      <w:r>
        <w:rPr>
          <w:rFonts w:hint="eastAsia" w:ascii="Times New Roman" w:hAnsi="Times New Roman" w:eastAsia="仿宋_GB2312" w:cs="仿宋_GB2312"/>
          <w:color w:val="0C0C0C"/>
          <w:spacing w:val="-6"/>
          <w:kern w:val="2"/>
          <w:sz w:val="32"/>
          <w:szCs w:val="32"/>
          <w:u w:val="none"/>
          <w:lang w:val="en-US" w:eastAsia="zh-CN" w:bidi="ar-SA"/>
        </w:rPr>
        <w:t>%，</w:t>
      </w:r>
      <w:r>
        <w:rPr>
          <w:rFonts w:hint="eastAsia" w:ascii="Times New Roman" w:hAnsi="Times New Roman" w:eastAsia="仿宋_GB2312" w:cs="仿宋_GB2312"/>
          <w:color w:val="0C0C0C"/>
          <w:spacing w:val="-6"/>
          <w:kern w:val="2"/>
          <w:sz w:val="32"/>
          <w:szCs w:val="32"/>
          <w:u w:val="none"/>
          <w:lang w:val="en" w:eastAsia="zh-CN" w:bidi="ar-SA"/>
        </w:rPr>
        <w:t>港澳台</w:t>
      </w:r>
      <w:r>
        <w:rPr>
          <w:rFonts w:hint="eastAsia" w:ascii="Times New Roman" w:hAnsi="Times New Roman" w:eastAsia="仿宋_GB2312" w:cs="仿宋_GB2312"/>
          <w:color w:val="0C0C0C"/>
          <w:spacing w:val="-6"/>
          <w:kern w:val="2"/>
          <w:sz w:val="32"/>
          <w:szCs w:val="32"/>
          <w:u w:val="none"/>
          <w:lang w:val="en-US" w:eastAsia="zh-CN" w:bidi="ar-SA"/>
        </w:rPr>
        <w:t>投资企业占</w:t>
      </w:r>
      <w:r>
        <w:rPr>
          <w:rFonts w:hint="eastAsia" w:ascii="Times New Roman" w:hAnsi="Times New Roman" w:eastAsia="仿宋_GB2312" w:cs="仿宋_GB2312"/>
          <w:color w:val="0C0C0C"/>
          <w:sz w:val="32"/>
          <w:szCs w:val="32"/>
          <w:u w:val="none"/>
          <w:lang w:val="en-US" w:eastAsia="zh-CN"/>
        </w:rPr>
        <w:t>0.4</w:t>
      </w:r>
      <w:r>
        <w:rPr>
          <w:rFonts w:hint="eastAsia" w:ascii="Times New Roman" w:hAnsi="Times New Roman" w:eastAsia="仿宋_GB2312" w:cs="仿宋_GB2312"/>
          <w:color w:val="0C0C0C"/>
          <w:spacing w:val="-6"/>
          <w:kern w:val="2"/>
          <w:sz w:val="32"/>
          <w:szCs w:val="32"/>
          <w:u w:val="none"/>
          <w:lang w:val="en-US" w:eastAsia="zh-CN" w:bidi="ar-SA"/>
        </w:rPr>
        <w:t>%，外商投资企业占</w:t>
      </w:r>
      <w:r>
        <w:rPr>
          <w:rFonts w:hint="eastAsia" w:ascii="Times New Roman" w:hAnsi="Times New Roman" w:eastAsia="仿宋_GB2312" w:cs="仿宋_GB2312"/>
          <w:color w:val="0C0C0C"/>
          <w:sz w:val="32"/>
          <w:szCs w:val="32"/>
          <w:u w:val="none"/>
          <w:lang w:val="en-US" w:eastAsia="zh-CN"/>
        </w:rPr>
        <w:t>0.1</w:t>
      </w:r>
      <w:r>
        <w:rPr>
          <w:rFonts w:hint="eastAsia" w:ascii="Times New Roman" w:hAnsi="Times New Roman" w:eastAsia="仿宋_GB2312" w:cs="仿宋_GB2312"/>
          <w:color w:val="0C0C0C"/>
          <w:spacing w:val="-6"/>
          <w:kern w:val="2"/>
          <w:sz w:val="32"/>
          <w:szCs w:val="32"/>
          <w:u w:val="none"/>
          <w:lang w:val="en-US" w:eastAsia="zh-CN" w:bidi="ar-SA"/>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b/>
          <w:i w:val="0"/>
          <w:caps w:val="0"/>
          <w:color w:val="0C0C0C"/>
          <w:spacing w:val="0"/>
          <w:kern w:val="0"/>
          <w:sz w:val="32"/>
          <w:szCs w:val="32"/>
          <w:highlight w:val="none"/>
          <w:lang w:val="en-US" w:eastAsia="zh-CN" w:bidi="ar"/>
        </w:rPr>
      </w:pPr>
      <w:r>
        <w:rPr>
          <w:rFonts w:hint="eastAsia" w:ascii="Times New Roman" w:hAnsi="Times New Roman" w:eastAsia="仿宋_GB2312" w:cs="仿宋_GB2312"/>
          <w:color w:val="0C0C0C"/>
          <w:spacing w:val="-6"/>
          <w:kern w:val="2"/>
          <w:sz w:val="32"/>
          <w:szCs w:val="32"/>
          <w:u w:val="none"/>
          <w:lang w:val="en-US" w:eastAsia="zh-CN" w:bidi="ar-SA"/>
        </w:rPr>
        <w:t>在租赁和商务服务业企业法人单位从业人员中，内资企业占</w:t>
      </w:r>
      <w:r>
        <w:rPr>
          <w:rFonts w:hint="eastAsia" w:ascii="Times New Roman" w:hAnsi="Times New Roman" w:eastAsia="仿宋_GB2312" w:cs="仿宋_GB2312"/>
          <w:color w:val="0C0C0C"/>
          <w:sz w:val="32"/>
          <w:szCs w:val="32"/>
          <w:u w:val="none"/>
          <w:lang w:val="en-US" w:eastAsia="zh-CN"/>
        </w:rPr>
        <w:t>98.9</w:t>
      </w:r>
      <w:r>
        <w:rPr>
          <w:rFonts w:hint="eastAsia" w:ascii="Times New Roman" w:hAnsi="Times New Roman" w:eastAsia="仿宋_GB2312" w:cs="仿宋_GB2312"/>
          <w:color w:val="0C0C0C"/>
          <w:spacing w:val="-6"/>
          <w:kern w:val="2"/>
          <w:sz w:val="32"/>
          <w:szCs w:val="32"/>
          <w:u w:val="none"/>
          <w:lang w:val="en-US" w:eastAsia="zh-CN" w:bidi="ar-SA"/>
        </w:rPr>
        <w:t>%，港澳台投资企业占</w:t>
      </w:r>
      <w:r>
        <w:rPr>
          <w:rFonts w:hint="eastAsia" w:ascii="Times New Roman" w:hAnsi="Times New Roman" w:eastAsia="仿宋_GB2312" w:cs="仿宋_GB2312"/>
          <w:color w:val="0C0C0C"/>
          <w:sz w:val="32"/>
          <w:szCs w:val="32"/>
          <w:u w:val="none"/>
          <w:lang w:val="en-US" w:eastAsia="zh-CN"/>
        </w:rPr>
        <w:t>0.3</w:t>
      </w:r>
      <w:r>
        <w:rPr>
          <w:rFonts w:hint="eastAsia" w:ascii="Times New Roman" w:hAnsi="Times New Roman" w:eastAsia="仿宋_GB2312" w:cs="仿宋_GB2312"/>
          <w:color w:val="0C0C0C"/>
          <w:spacing w:val="-6"/>
          <w:kern w:val="2"/>
          <w:sz w:val="32"/>
          <w:szCs w:val="32"/>
          <w:u w:val="none"/>
          <w:lang w:val="en-US" w:eastAsia="zh-CN" w:bidi="ar-SA"/>
        </w:rPr>
        <w:t>%，外商投资企业占0.7%（详见表4-17）。</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表4-1</w:t>
      </w:r>
      <w:r>
        <w:rPr>
          <w:rFonts w:hint="eastAsia" w:ascii="Times New Roman" w:hAnsi="Times New Roman" w:cs="宋体"/>
          <w:b/>
          <w:i w:val="0"/>
          <w:caps w:val="0"/>
          <w:color w:val="0C0C0C"/>
          <w:spacing w:val="0"/>
          <w:kern w:val="0"/>
          <w:sz w:val="24"/>
          <w:szCs w:val="24"/>
          <w:highlight w:val="none"/>
          <w:lang w:val="en-US" w:eastAsia="zh-CN" w:bidi="ar"/>
        </w:rPr>
        <w:t>7</w:t>
      </w:r>
      <w:r>
        <w:rPr>
          <w:rFonts w:hint="eastAsia" w:ascii="Times New Roman" w:hAnsi="Times New Roman" w:eastAsia="宋体" w:cs="宋体"/>
          <w:b/>
          <w:i w:val="0"/>
          <w:caps w:val="0"/>
          <w:color w:val="0C0C0C"/>
          <w:spacing w:val="0"/>
          <w:kern w:val="0"/>
          <w:sz w:val="24"/>
          <w:szCs w:val="24"/>
          <w:highlight w:val="none"/>
          <w:lang w:val="en-US" w:eastAsia="zh-CN" w:bidi="ar"/>
        </w:rPr>
        <w:t>　按登记注册统计类别分组的租赁和商务服务业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企业法人单位数和从业人员</w:t>
      </w:r>
    </w:p>
    <w:tbl>
      <w:tblPr>
        <w:tblStyle w:val="11"/>
        <w:tblW w:w="8834" w:type="dxa"/>
        <w:jc w:val="center"/>
        <w:tblInd w:w="0" w:type="dxa"/>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
      <w:tblGrid>
        <w:gridCol w:w="3950"/>
        <w:gridCol w:w="2442"/>
        <w:gridCol w:w="2442"/>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23" w:hRule="atLeast"/>
          <w:jc w:val="center"/>
        </w:trPr>
        <w:tc>
          <w:tcPr>
            <w:tcW w:w="3950" w:type="dxa"/>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50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　</w:t>
            </w:r>
          </w:p>
        </w:tc>
        <w:tc>
          <w:tcPr>
            <w:tcW w:w="2442" w:type="dxa"/>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57" w:right="57" w:firstLine="0" w:firstLineChars="0"/>
              <w:jc w:val="center"/>
              <w:textAlignment w:val="auto"/>
              <w:rPr>
                <w:rFonts w:hint="eastAsia" w:ascii="Times New Roman" w:hAnsi="Times New Roman" w:eastAsia="宋体" w:cs="宋体"/>
                <w:b/>
                <w:bCs/>
                <w:color w:val="0C0C0C"/>
                <w:kern w:val="0"/>
                <w:sz w:val="21"/>
                <w:szCs w:val="21"/>
                <w:highlight w:val="none"/>
                <w:lang w:val="en-US" w:eastAsia="zh-CN" w:bidi="ar"/>
              </w:rPr>
            </w:pPr>
            <w:r>
              <w:rPr>
                <w:rFonts w:hint="eastAsia" w:ascii="Times New Roman" w:hAnsi="Times New Roman" w:eastAsia="宋体" w:cs="宋体"/>
                <w:b/>
                <w:bCs/>
                <w:color w:val="0C0C0C"/>
                <w:kern w:val="0"/>
                <w:sz w:val="21"/>
                <w:szCs w:val="21"/>
                <w:highlight w:val="none"/>
                <w:lang w:val="en-US" w:eastAsia="zh-CN" w:bidi="ar"/>
              </w:rPr>
              <w:t>企业法人单位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57" w:leftChars="0" w:right="57" w:rightChars="0"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（个）</w:t>
            </w:r>
          </w:p>
        </w:tc>
        <w:tc>
          <w:tcPr>
            <w:tcW w:w="2442" w:type="dxa"/>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57" w:right="57" w:firstLine="0" w:firstLineChars="0"/>
              <w:jc w:val="center"/>
              <w:textAlignment w:val="auto"/>
              <w:rPr>
                <w:rFonts w:hint="eastAsia" w:ascii="Times New Roman" w:hAnsi="Times New Roman" w:eastAsia="宋体" w:cs="宋体"/>
                <w:b/>
                <w:bCs/>
                <w:color w:val="0C0C0C"/>
                <w:kern w:val="0"/>
                <w:sz w:val="21"/>
                <w:szCs w:val="21"/>
                <w:highlight w:val="none"/>
                <w:lang w:val="en-US" w:eastAsia="zh-CN" w:bidi="ar"/>
              </w:rPr>
            </w:pPr>
            <w:r>
              <w:rPr>
                <w:rFonts w:hint="eastAsia" w:ascii="Times New Roman" w:hAnsi="Times New Roman" w:eastAsia="宋体" w:cs="宋体"/>
                <w:b/>
                <w:bCs/>
                <w:color w:val="0C0C0C"/>
                <w:kern w:val="0"/>
                <w:sz w:val="21"/>
                <w:szCs w:val="21"/>
                <w:highlight w:val="none"/>
                <w:lang w:val="en-US" w:eastAsia="zh-CN" w:bidi="ar"/>
              </w:rPr>
              <w:t>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57" w:leftChars="0" w:right="57" w:rightChars="0"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（人）</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950" w:type="dxa"/>
            <w:tcBorders>
              <w:top w:val="single" w:color="auto" w:sz="8" w:space="0"/>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2442" w:type="dxa"/>
            <w:tcBorders>
              <w:top w:val="single" w:color="auto" w:sz="8" w:space="0"/>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i w:val="0"/>
                <w:color w:val="0C0C0C"/>
                <w:kern w:val="0"/>
                <w:sz w:val="21"/>
                <w:szCs w:val="21"/>
                <w:highlight w:val="none"/>
                <w:u w:val="none"/>
                <w:lang w:val="en" w:eastAsia="zh-CN" w:bidi="ar"/>
              </w:rPr>
            </w:pPr>
            <w:r>
              <w:rPr>
                <w:rFonts w:hint="eastAsia" w:ascii="Times New Roman" w:hAnsi="Times New Roman" w:eastAsia="宋体" w:cs="宋体"/>
                <w:b/>
                <w:bCs/>
                <w:i w:val="0"/>
                <w:iCs w:val="0"/>
                <w:color w:val="000000"/>
                <w:kern w:val="0"/>
                <w:sz w:val="21"/>
                <w:szCs w:val="21"/>
                <w:u w:val="none"/>
                <w:lang w:val="en-US" w:eastAsia="zh-CN" w:bidi="ar"/>
              </w:rPr>
              <w:t>11014</w:t>
            </w:r>
          </w:p>
        </w:tc>
        <w:tc>
          <w:tcPr>
            <w:tcW w:w="2442" w:type="dxa"/>
            <w:tcBorders>
              <w:top w:val="single" w:color="auto" w:sz="8" w:space="0"/>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i w:val="0"/>
                <w:color w:val="0C0C0C"/>
                <w:kern w:val="0"/>
                <w:sz w:val="21"/>
                <w:szCs w:val="21"/>
                <w:highlight w:val="none"/>
                <w:u w:val="none"/>
                <w:lang w:val="en" w:eastAsia="zh-CN" w:bidi="ar"/>
              </w:rPr>
            </w:pPr>
            <w:r>
              <w:rPr>
                <w:rFonts w:hint="eastAsia" w:ascii="Times New Roman" w:hAnsi="Times New Roman" w:eastAsia="宋体" w:cs="宋体"/>
                <w:b/>
                <w:bCs/>
                <w:i w:val="0"/>
                <w:iCs w:val="0"/>
                <w:color w:val="000000"/>
                <w:kern w:val="0"/>
                <w:sz w:val="21"/>
                <w:szCs w:val="21"/>
                <w:u w:val="none"/>
                <w:lang w:val="en-US" w:eastAsia="zh-CN" w:bidi="ar"/>
              </w:rPr>
              <w:t>47655</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95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sz w:val="21"/>
                <w:szCs w:val="21"/>
                <w:highlight w:val="none"/>
              </w:rPr>
            </w:pPr>
            <w:r>
              <w:rPr>
                <w:rFonts w:hint="eastAsia" w:ascii="Times New Roman" w:hAnsi="Times New Roman" w:eastAsia="宋体" w:cs="宋体"/>
                <w:b w:val="0"/>
                <w:bCs/>
                <w:color w:val="0C0C0C"/>
                <w:kern w:val="0"/>
                <w:sz w:val="21"/>
                <w:szCs w:val="21"/>
                <w:highlight w:val="none"/>
                <w:lang w:val="en-US" w:eastAsia="zh-CN" w:bidi="ar"/>
              </w:rPr>
              <w:t>内资企业</w:t>
            </w:r>
          </w:p>
        </w:tc>
        <w:tc>
          <w:tcPr>
            <w:tcW w:w="2442"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10935</w:t>
            </w:r>
          </w:p>
        </w:tc>
        <w:tc>
          <w:tcPr>
            <w:tcW w:w="2442"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47148</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PrEx>
        <w:trPr>
          <w:trHeight w:val="340" w:hRule="exact"/>
          <w:jc w:val="center"/>
        </w:trPr>
        <w:tc>
          <w:tcPr>
            <w:tcW w:w="395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sz w:val="21"/>
                <w:szCs w:val="21"/>
                <w:highlight w:val="none"/>
              </w:rPr>
            </w:pPr>
            <w:r>
              <w:rPr>
                <w:rFonts w:hint="eastAsia" w:ascii="Times New Roman" w:hAnsi="Times New Roman" w:eastAsia="宋体" w:cs="宋体"/>
                <w:b w:val="0"/>
                <w:bCs/>
                <w:color w:val="0C0C0C"/>
                <w:kern w:val="0"/>
                <w:sz w:val="21"/>
                <w:szCs w:val="21"/>
                <w:highlight w:val="none"/>
                <w:lang w:val="en-US" w:eastAsia="zh-CN" w:bidi="ar"/>
              </w:rPr>
              <w:t>港澳台投资企业</w:t>
            </w:r>
          </w:p>
        </w:tc>
        <w:tc>
          <w:tcPr>
            <w:tcW w:w="2442"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46</w:t>
            </w:r>
          </w:p>
        </w:tc>
        <w:tc>
          <w:tcPr>
            <w:tcW w:w="2442"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151</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95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sz w:val="21"/>
                <w:szCs w:val="21"/>
                <w:highlight w:val="none"/>
              </w:rPr>
            </w:pPr>
            <w:r>
              <w:rPr>
                <w:rFonts w:hint="eastAsia" w:ascii="Times New Roman" w:hAnsi="Times New Roman" w:eastAsia="宋体" w:cs="宋体"/>
                <w:b w:val="0"/>
                <w:bCs/>
                <w:color w:val="0C0C0C"/>
                <w:kern w:val="0"/>
                <w:sz w:val="21"/>
                <w:szCs w:val="21"/>
                <w:highlight w:val="none"/>
                <w:lang w:val="en-US" w:eastAsia="zh-CN" w:bidi="ar"/>
              </w:rPr>
              <w:t>外商投资企业</w:t>
            </w:r>
          </w:p>
        </w:tc>
        <w:tc>
          <w:tcPr>
            <w:tcW w:w="2442"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16</w:t>
            </w:r>
          </w:p>
        </w:tc>
        <w:tc>
          <w:tcPr>
            <w:tcW w:w="2442" w:type="dxa"/>
            <w:tcBorders>
              <w:tl2br w:val="nil"/>
              <w:tr2bl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334</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950" w:type="dxa"/>
            <w:tcBorders>
              <w:bottom w:val="single" w:color="auto" w:sz="12"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b w:val="0"/>
                <w:bCs/>
                <w:color w:val="0C0C0C"/>
                <w:kern w:val="0"/>
                <w:sz w:val="21"/>
                <w:szCs w:val="21"/>
                <w:highlight w:val="none"/>
                <w:lang w:val="en-US" w:eastAsia="zh-CN" w:bidi="ar"/>
              </w:rPr>
            </w:pPr>
            <w:r>
              <w:rPr>
                <w:rFonts w:hint="eastAsia" w:ascii="Times New Roman" w:hAnsi="Times New Roman" w:eastAsia="宋体" w:cs="宋体"/>
                <w:b w:val="0"/>
                <w:bCs/>
                <w:color w:val="0C0C0C"/>
                <w:kern w:val="2"/>
                <w:sz w:val="21"/>
                <w:szCs w:val="21"/>
                <w:highlight w:val="none"/>
                <w:lang w:val="en-US" w:eastAsia="zh-CN" w:bidi="ar-SA"/>
              </w:rPr>
              <w:t>其他统计类别</w:t>
            </w:r>
          </w:p>
        </w:tc>
        <w:tc>
          <w:tcPr>
            <w:tcW w:w="2442" w:type="dxa"/>
            <w:tcBorders>
              <w:bottom w:val="single" w:color="auto" w:sz="12"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17</w:t>
            </w:r>
          </w:p>
        </w:tc>
        <w:tc>
          <w:tcPr>
            <w:tcW w:w="2442" w:type="dxa"/>
            <w:tcBorders>
              <w:bottom w:val="single" w:color="auto" w:sz="12"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val="0"/>
                <w:bCs/>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22</w:t>
            </w:r>
          </w:p>
        </w:tc>
      </w:tr>
    </w:tbl>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楷体_GB2312" w:hAnsi="楷体_GB2312" w:eastAsia="楷体_GB2312" w:cs="楷体_GB2312"/>
          <w:i w:val="0"/>
          <w:caps w:val="0"/>
          <w:color w:val="0C0C0C"/>
          <w:spacing w:val="0"/>
          <w:kern w:val="0"/>
          <w:sz w:val="32"/>
          <w:szCs w:val="32"/>
          <w:highlight w:val="none"/>
          <w:lang w:bidi="ar"/>
        </w:rPr>
      </w:pPr>
      <w:r>
        <w:rPr>
          <w:rFonts w:hint="eastAsia" w:ascii="楷体_GB2312" w:hAnsi="楷体_GB2312" w:eastAsia="楷体_GB2312" w:cs="楷体_GB2312"/>
          <w:i w:val="0"/>
          <w:caps w:val="0"/>
          <w:color w:val="0C0C0C"/>
          <w:spacing w:val="0"/>
          <w:kern w:val="0"/>
          <w:sz w:val="32"/>
          <w:szCs w:val="32"/>
          <w:highlight w:val="none"/>
          <w:lang w:val="en-US" w:eastAsia="zh-CN" w:bidi="ar"/>
        </w:rPr>
        <w:t>（二）主要经济指标</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2023年末，租赁和商务服务业企业法人单位资产总计</w:t>
      </w:r>
      <w:r>
        <w:rPr>
          <w:rFonts w:hint="eastAsia" w:ascii="Times New Roman" w:hAnsi="Times New Roman" w:eastAsia="仿宋_GB2312" w:cs="仿宋_GB2312"/>
          <w:color w:val="0C0C0C"/>
          <w:sz w:val="32"/>
          <w:szCs w:val="32"/>
          <w:u w:val="none"/>
          <w:lang w:val="en-US" w:eastAsia="zh-CN"/>
        </w:rPr>
        <w:t>1075.76</w:t>
      </w:r>
      <w:r>
        <w:rPr>
          <w:rFonts w:hint="eastAsia" w:ascii="Times New Roman" w:hAnsi="Times New Roman" w:eastAsia="仿宋_GB2312" w:cs="仿宋_GB2312"/>
          <w:color w:val="0C0C0C"/>
          <w:spacing w:val="-6"/>
          <w:kern w:val="2"/>
          <w:sz w:val="32"/>
          <w:szCs w:val="32"/>
          <w:u w:val="none"/>
          <w:lang w:val="en-US" w:eastAsia="zh-CN" w:bidi="ar-SA"/>
        </w:rPr>
        <w:t>亿元，比2018年末增长</w:t>
      </w:r>
      <w:r>
        <w:rPr>
          <w:rFonts w:hint="eastAsia" w:ascii="Times New Roman" w:hAnsi="Times New Roman" w:eastAsia="仿宋_GB2312" w:cs="仿宋_GB2312"/>
          <w:color w:val="0C0C0C"/>
          <w:sz w:val="32"/>
          <w:szCs w:val="32"/>
          <w:u w:val="none"/>
          <w:lang w:val="en-US" w:eastAsia="zh-CN"/>
        </w:rPr>
        <w:t>12.0</w:t>
      </w:r>
      <w:r>
        <w:rPr>
          <w:rFonts w:hint="eastAsia" w:ascii="Times New Roman" w:hAnsi="Times New Roman" w:eastAsia="仿宋_GB2312" w:cs="仿宋_GB2312"/>
          <w:color w:val="0C0C0C"/>
          <w:spacing w:val="-6"/>
          <w:kern w:val="2"/>
          <w:sz w:val="32"/>
          <w:szCs w:val="32"/>
          <w:u w:val="none"/>
          <w:lang w:val="en-US" w:eastAsia="zh-CN" w:bidi="ar-SA"/>
        </w:rPr>
        <w:t>%。其中，租赁业企业法人单位资产总计</w:t>
      </w:r>
      <w:r>
        <w:rPr>
          <w:rFonts w:hint="eastAsia" w:ascii="Times New Roman" w:hAnsi="Times New Roman" w:eastAsia="仿宋_GB2312" w:cs="仿宋_GB2312"/>
          <w:color w:val="0C0C0C"/>
          <w:sz w:val="32"/>
          <w:szCs w:val="32"/>
          <w:u w:val="none"/>
          <w:lang w:val="en-US" w:eastAsia="zh-CN"/>
        </w:rPr>
        <w:t>34.00</w:t>
      </w:r>
      <w:r>
        <w:rPr>
          <w:rFonts w:hint="eastAsia" w:ascii="Times New Roman" w:hAnsi="Times New Roman" w:eastAsia="仿宋_GB2312" w:cs="仿宋_GB2312"/>
          <w:color w:val="0C0C0C"/>
          <w:spacing w:val="-6"/>
          <w:kern w:val="2"/>
          <w:sz w:val="32"/>
          <w:szCs w:val="32"/>
          <w:u w:val="none"/>
          <w:lang w:val="en-US" w:eastAsia="zh-CN" w:bidi="ar-SA"/>
        </w:rPr>
        <w:t>亿元，商务服务业企业法人单位资产总计</w:t>
      </w:r>
      <w:r>
        <w:rPr>
          <w:rFonts w:hint="eastAsia" w:ascii="Times New Roman" w:hAnsi="Times New Roman" w:eastAsia="仿宋_GB2312" w:cs="仿宋_GB2312"/>
          <w:color w:val="0C0C0C"/>
          <w:sz w:val="32"/>
          <w:szCs w:val="32"/>
          <w:u w:val="none"/>
          <w:lang w:val="en-US" w:eastAsia="zh-CN"/>
        </w:rPr>
        <w:t>1041.76</w:t>
      </w:r>
      <w:r>
        <w:rPr>
          <w:rFonts w:hint="eastAsia" w:ascii="Times New Roman" w:hAnsi="Times New Roman" w:eastAsia="仿宋_GB2312" w:cs="仿宋_GB2312"/>
          <w:color w:val="0C0C0C"/>
          <w:spacing w:val="-6"/>
          <w:kern w:val="2"/>
          <w:sz w:val="32"/>
          <w:szCs w:val="32"/>
          <w:u w:val="none"/>
          <w:lang w:val="en-US" w:eastAsia="zh-CN" w:bidi="ar-SA"/>
        </w:rPr>
        <w:t>亿元，分别比2018年末增长</w:t>
      </w:r>
      <w:r>
        <w:rPr>
          <w:rFonts w:hint="eastAsia" w:ascii="Times New Roman" w:hAnsi="Times New Roman" w:eastAsia="仿宋_GB2312" w:cs="仿宋_GB2312"/>
          <w:color w:val="0C0C0C"/>
          <w:sz w:val="32"/>
          <w:szCs w:val="32"/>
          <w:u w:val="none"/>
          <w:lang w:val="en-US" w:eastAsia="zh-CN"/>
        </w:rPr>
        <w:t>2.6倍</w:t>
      </w:r>
      <w:r>
        <w:rPr>
          <w:rFonts w:hint="eastAsia" w:ascii="Times New Roman" w:hAnsi="Times New Roman" w:eastAsia="仿宋_GB2312" w:cs="仿宋_GB2312"/>
          <w:color w:val="0C0C0C"/>
          <w:spacing w:val="-6"/>
          <w:kern w:val="2"/>
          <w:sz w:val="32"/>
          <w:szCs w:val="32"/>
          <w:u w:val="none"/>
          <w:lang w:val="en-US" w:eastAsia="zh-CN" w:bidi="ar-SA"/>
        </w:rPr>
        <w:t>和9.5%。租赁和商务服务业企业法人单位负债合计</w:t>
      </w:r>
      <w:r>
        <w:rPr>
          <w:rFonts w:hint="eastAsia" w:ascii="Times New Roman" w:hAnsi="Times New Roman" w:eastAsia="仿宋_GB2312" w:cs="仿宋_GB2312"/>
          <w:color w:val="0C0C0C"/>
          <w:sz w:val="32"/>
          <w:szCs w:val="32"/>
          <w:u w:val="none"/>
          <w:lang w:val="en-US" w:eastAsia="zh-CN"/>
        </w:rPr>
        <w:t>545.87</w:t>
      </w:r>
      <w:r>
        <w:rPr>
          <w:rFonts w:hint="eastAsia" w:ascii="Times New Roman" w:hAnsi="Times New Roman" w:eastAsia="仿宋_GB2312" w:cs="仿宋_GB2312"/>
          <w:color w:val="0C0C0C"/>
          <w:spacing w:val="-6"/>
          <w:kern w:val="2"/>
          <w:sz w:val="32"/>
          <w:szCs w:val="32"/>
          <w:u w:val="none"/>
          <w:lang w:val="en-US" w:eastAsia="zh-CN" w:bidi="ar-SA"/>
        </w:rPr>
        <w:t>亿元，比2018年末增长</w:t>
      </w:r>
      <w:r>
        <w:rPr>
          <w:rFonts w:hint="eastAsia" w:ascii="Times New Roman" w:hAnsi="Times New Roman" w:eastAsia="仿宋_GB2312" w:cs="仿宋_GB2312"/>
          <w:color w:val="0C0C0C"/>
          <w:sz w:val="32"/>
          <w:szCs w:val="32"/>
          <w:u w:val="none"/>
          <w:lang w:val="en-US" w:eastAsia="zh-CN"/>
        </w:rPr>
        <w:t>92.9</w:t>
      </w:r>
      <w:r>
        <w:rPr>
          <w:rFonts w:hint="eastAsia" w:ascii="Times New Roman" w:hAnsi="Times New Roman" w:eastAsia="仿宋_GB2312" w:cs="仿宋_GB2312"/>
          <w:color w:val="0C0C0C"/>
          <w:spacing w:val="-6"/>
          <w:kern w:val="2"/>
          <w:sz w:val="32"/>
          <w:szCs w:val="32"/>
          <w:u w:val="none"/>
          <w:lang w:val="en-US" w:eastAsia="zh-CN" w:bidi="ar-SA"/>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2023年，租赁和商务服务业企业法人单位全年实现营业收入</w:t>
      </w:r>
      <w:r>
        <w:rPr>
          <w:rFonts w:hint="eastAsia" w:ascii="Times New Roman" w:hAnsi="Times New Roman" w:eastAsia="仿宋_GB2312" w:cs="仿宋_GB2312"/>
          <w:color w:val="0C0C0C"/>
          <w:sz w:val="32"/>
          <w:szCs w:val="32"/>
          <w:u w:val="none"/>
          <w:lang w:val="en-US" w:eastAsia="zh-CN"/>
        </w:rPr>
        <w:t>154.52</w:t>
      </w:r>
      <w:r>
        <w:rPr>
          <w:rFonts w:hint="eastAsia" w:ascii="Times New Roman" w:hAnsi="Times New Roman" w:eastAsia="仿宋_GB2312" w:cs="仿宋_GB2312"/>
          <w:color w:val="0C0C0C"/>
          <w:spacing w:val="-6"/>
          <w:kern w:val="2"/>
          <w:sz w:val="32"/>
          <w:szCs w:val="32"/>
          <w:u w:val="none"/>
          <w:lang w:val="en-US" w:eastAsia="zh-CN" w:bidi="ar-SA"/>
        </w:rPr>
        <w:t>亿元，比2018年增长</w:t>
      </w:r>
      <w:r>
        <w:rPr>
          <w:rFonts w:hint="eastAsia" w:ascii="Times New Roman" w:hAnsi="Times New Roman" w:eastAsia="仿宋_GB2312" w:cs="仿宋_GB2312"/>
          <w:color w:val="0C0C0C"/>
          <w:sz w:val="32"/>
          <w:szCs w:val="32"/>
          <w:u w:val="none"/>
          <w:lang w:val="en-US" w:eastAsia="zh-CN"/>
        </w:rPr>
        <w:t>1.8倍</w:t>
      </w:r>
      <w:r>
        <w:rPr>
          <w:rFonts w:hint="eastAsia" w:ascii="Times New Roman" w:hAnsi="Times New Roman" w:eastAsia="仿宋_GB2312" w:cs="仿宋_GB2312"/>
          <w:color w:val="0C0C0C"/>
          <w:spacing w:val="-6"/>
          <w:kern w:val="2"/>
          <w:sz w:val="32"/>
          <w:szCs w:val="32"/>
          <w:u w:val="none"/>
          <w:lang w:val="en-US" w:eastAsia="zh-CN" w:bidi="ar-SA"/>
        </w:rPr>
        <w:t>（详见表4-18）。</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Lines="20"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表4-</w:t>
      </w:r>
      <w:r>
        <w:rPr>
          <w:rFonts w:hint="eastAsia" w:ascii="Times New Roman" w:hAnsi="Times New Roman" w:cs="宋体"/>
          <w:b/>
          <w:i w:val="0"/>
          <w:caps w:val="0"/>
          <w:color w:val="0C0C0C"/>
          <w:spacing w:val="0"/>
          <w:kern w:val="0"/>
          <w:sz w:val="24"/>
          <w:szCs w:val="24"/>
          <w:highlight w:val="none"/>
          <w:lang w:val="en-US" w:eastAsia="zh-CN" w:bidi="ar"/>
        </w:rPr>
        <w:t>18</w:t>
      </w:r>
      <w:r>
        <w:rPr>
          <w:rFonts w:hint="eastAsia" w:ascii="Times New Roman" w:hAnsi="Times New Roman" w:eastAsia="宋体" w:cs="宋体"/>
          <w:b/>
          <w:i w:val="0"/>
          <w:caps w:val="0"/>
          <w:color w:val="0C0C0C"/>
          <w:spacing w:val="0"/>
          <w:kern w:val="0"/>
          <w:sz w:val="24"/>
          <w:szCs w:val="24"/>
          <w:highlight w:val="none"/>
          <w:lang w:val="en-US" w:eastAsia="zh-CN" w:bidi="ar"/>
        </w:rPr>
        <w:t>　按行业大类分组的租赁和商务服务业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 xml:space="preserve">  企业法人单位主要经济指标</w:t>
      </w:r>
    </w:p>
    <w:tbl>
      <w:tblPr>
        <w:tblStyle w:val="11"/>
        <w:tblW w:w="8732"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3807"/>
        <w:gridCol w:w="1641"/>
        <w:gridCol w:w="1641"/>
        <w:gridCol w:w="1643"/>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3" w:hRule="atLeast"/>
          <w:jc w:val="center"/>
        </w:trPr>
        <w:tc>
          <w:tcPr>
            <w:tcW w:w="3807" w:type="dxa"/>
            <w:tcBorders>
              <w:top w:val="single" w:color="auto" w:sz="12" w:space="0"/>
              <w:left w:val="nil"/>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0" w:right="0" w:firstLine="0" w:firstLineChars="0"/>
              <w:jc w:val="left"/>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　</w:t>
            </w:r>
          </w:p>
        </w:tc>
        <w:tc>
          <w:tcPr>
            <w:tcW w:w="1641"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资产总计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（亿元）</w:t>
            </w:r>
          </w:p>
        </w:tc>
        <w:tc>
          <w:tcPr>
            <w:tcW w:w="1641"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负债合计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（亿元）</w:t>
            </w:r>
          </w:p>
        </w:tc>
        <w:tc>
          <w:tcPr>
            <w:tcW w:w="1643" w:type="dxa"/>
            <w:tcBorders>
              <w:top w:val="single" w:color="auto" w:sz="12" w:space="0"/>
              <w:left w:val="single" w:color="auto" w:sz="4" w:space="0"/>
              <w:bottom w:val="single" w:color="auto" w:sz="4"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营业收入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（亿元）</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07" w:type="dxa"/>
            <w:tcBorders>
              <w:top w:val="single" w:color="auto" w:sz="4" w:space="0"/>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1641"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 xml:space="preserve">1075.76 </w:t>
            </w:r>
          </w:p>
        </w:tc>
        <w:tc>
          <w:tcPr>
            <w:tcW w:w="1641"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 xml:space="preserve">545.87 </w:t>
            </w:r>
          </w:p>
        </w:tc>
        <w:tc>
          <w:tcPr>
            <w:tcW w:w="1643" w:type="dxa"/>
            <w:tcBorders>
              <w:top w:val="single" w:color="auto" w:sz="4" w:space="0"/>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b/>
                <w:bCs/>
                <w:color w:val="0C0C0C"/>
                <w:kern w:val="2"/>
                <w:sz w:val="21"/>
                <w:szCs w:val="21"/>
                <w:highlight w:val="none"/>
                <w:lang w:val="en" w:eastAsia="zh-CN" w:bidi="ar-SA"/>
              </w:rPr>
            </w:pPr>
            <w:r>
              <w:rPr>
                <w:rFonts w:hint="eastAsia" w:ascii="Times New Roman" w:hAnsi="Times New Roman" w:eastAsia="宋体" w:cs="宋体"/>
                <w:b/>
                <w:bCs/>
                <w:i w:val="0"/>
                <w:iCs w:val="0"/>
                <w:color w:val="000000"/>
                <w:kern w:val="0"/>
                <w:sz w:val="21"/>
                <w:szCs w:val="21"/>
                <w:u w:val="none"/>
                <w:lang w:val="en-US" w:eastAsia="zh-CN" w:bidi="ar"/>
              </w:rPr>
              <w:t xml:space="preserve">154.52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07"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租赁业</w:t>
            </w:r>
          </w:p>
        </w:tc>
        <w:tc>
          <w:tcPr>
            <w:tcW w:w="164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34.00 </w:t>
            </w:r>
          </w:p>
        </w:tc>
        <w:tc>
          <w:tcPr>
            <w:tcW w:w="1641"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28.19 </w:t>
            </w:r>
          </w:p>
        </w:tc>
        <w:tc>
          <w:tcPr>
            <w:tcW w:w="1643" w:type="dxa"/>
            <w:tcBorders>
              <w:top w:val="nil"/>
              <w:left w:val="single" w:color="auto" w:sz="4" w:space="0"/>
              <w:bottom w:val="nil"/>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15.38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3807" w:type="dxa"/>
            <w:tcBorders>
              <w:top w:val="nil"/>
              <w:left w:val="nil"/>
              <w:bottom w:val="single" w:color="auto" w:sz="12"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color w:val="0C0C0C"/>
                <w:kern w:val="0"/>
                <w:sz w:val="21"/>
                <w:szCs w:val="21"/>
                <w:highlight w:val="none"/>
                <w:lang w:val="en-US" w:eastAsia="zh-CN" w:bidi="ar"/>
              </w:rPr>
              <w:t>商务服务业</w:t>
            </w:r>
          </w:p>
        </w:tc>
        <w:tc>
          <w:tcPr>
            <w:tcW w:w="1641"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1041.76 </w:t>
            </w:r>
          </w:p>
        </w:tc>
        <w:tc>
          <w:tcPr>
            <w:tcW w:w="1641"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517.68 </w:t>
            </w:r>
          </w:p>
        </w:tc>
        <w:tc>
          <w:tcPr>
            <w:tcW w:w="1643" w:type="dxa"/>
            <w:tcBorders>
              <w:top w:val="nil"/>
              <w:left w:val="single" w:color="auto" w:sz="4" w:space="0"/>
              <w:bottom w:val="single" w:color="auto" w:sz="12" w:space="0"/>
              <w:right w:val="nil"/>
            </w:tcBorders>
            <w:vAlign w:val="center"/>
          </w:tcPr>
          <w:p>
            <w:pPr>
              <w:keepNext w:val="0"/>
              <w:keepLines w:val="0"/>
              <w:widowControl/>
              <w:suppressLineNumbers w:val="0"/>
              <w:spacing w:line="240" w:lineRule="auto"/>
              <w:ind w:right="0" w:firstLine="0" w:firstLineChars="0"/>
              <w:jc w:val="right"/>
              <w:textAlignment w:val="center"/>
              <w:rPr>
                <w:rFonts w:hint="eastAsia" w:ascii="Times New Roman" w:hAnsi="Times New Roman" w:eastAsia="宋体" w:cs="宋体"/>
                <w:color w:val="0C0C0C"/>
                <w:kern w:val="2"/>
                <w:sz w:val="21"/>
                <w:szCs w:val="21"/>
                <w:highlight w:val="none"/>
                <w:lang w:val="en" w:eastAsia="zh-CN" w:bidi="ar-SA"/>
              </w:rPr>
            </w:pPr>
            <w:r>
              <w:rPr>
                <w:rFonts w:hint="eastAsia" w:ascii="Times New Roman" w:hAnsi="Times New Roman" w:eastAsia="宋体" w:cs="宋体"/>
                <w:i w:val="0"/>
                <w:iCs w:val="0"/>
                <w:color w:val="000000"/>
                <w:kern w:val="0"/>
                <w:sz w:val="21"/>
                <w:szCs w:val="21"/>
                <w:u w:val="none"/>
                <w:lang w:val="en-US" w:eastAsia="zh-CN" w:bidi="ar"/>
              </w:rPr>
              <w:t xml:space="preserve">139.14 </w:t>
            </w:r>
          </w:p>
        </w:tc>
      </w:tr>
    </w:tbl>
    <w:p>
      <w:pPr>
        <w:keepNext w:val="0"/>
        <w:keepLines w:val="0"/>
        <w:pageBreakBefore w:val="0"/>
        <w:kinsoku/>
        <w:wordWrap/>
        <w:overflowPunct/>
        <w:topLinePunct w:val="0"/>
        <w:autoSpaceDE/>
        <w:autoSpaceDN/>
        <w:bidi w:val="0"/>
        <w:adjustRightInd/>
        <w:snapToGrid/>
        <w:spacing w:line="600" w:lineRule="exact"/>
        <w:ind w:left="0" w:leftChars="0" w:firstLine="640" w:firstLineChars="200"/>
        <w:jc w:val="both"/>
        <w:textAlignment w:val="center"/>
        <w:rPr>
          <w:rFonts w:hint="eastAsia" w:ascii="Times New Roman" w:hAnsi="Times New Roman" w:eastAsia="黑体" w:cs="黑体"/>
          <w:b w:val="0"/>
          <w:bCs/>
          <w:i w:val="0"/>
          <w:caps w:val="0"/>
          <w:color w:val="0C0C0C"/>
          <w:spacing w:val="0"/>
          <w:kern w:val="0"/>
          <w:sz w:val="32"/>
          <w:szCs w:val="32"/>
          <w:highlight w:val="none"/>
          <w:lang w:val="en-US" w:eastAsia="zh-CN" w:bidi="ar"/>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jc w:val="both"/>
        <w:textAlignment w:val="auto"/>
        <w:rPr>
          <w:rFonts w:hint="eastAsia" w:ascii="黑体" w:hAnsi="黑体" w:eastAsia="黑体" w:cs="黑体"/>
          <w:i w:val="0"/>
          <w:caps w:val="0"/>
          <w:color w:val="0C0C0C"/>
          <w:spacing w:val="0"/>
          <w:kern w:val="0"/>
          <w:sz w:val="24"/>
          <w:szCs w:val="24"/>
          <w:highlight w:val="none"/>
          <w:lang w:val="en-US" w:eastAsia="zh-CN" w:bidi="ar"/>
        </w:rPr>
      </w:pPr>
      <w:r>
        <w:rPr>
          <w:rFonts w:hint="eastAsia" w:ascii="黑体" w:hAnsi="黑体" w:eastAsia="黑体" w:cs="黑体"/>
          <w:i w:val="0"/>
          <w:caps w:val="0"/>
          <w:color w:val="0C0C0C"/>
          <w:spacing w:val="0"/>
          <w:kern w:val="0"/>
          <w:sz w:val="24"/>
          <w:szCs w:val="24"/>
          <w:highlight w:val="none"/>
          <w:lang w:val="en-US" w:eastAsia="zh-CN" w:bidi="ar"/>
        </w:rPr>
        <w:t>注释：</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仿宋_GB2312" w:cs="仿宋_GB2312"/>
          <w:i w:val="0"/>
          <w:caps w:val="0"/>
          <w:color w:val="0C0C0C"/>
          <w:spacing w:val="0"/>
          <w:kern w:val="0"/>
          <w:sz w:val="24"/>
          <w:szCs w:val="24"/>
          <w:highlight w:val="none"/>
          <w:lang w:val="en-US" w:eastAsia="zh-CN" w:bidi="ar"/>
        </w:rPr>
      </w:pPr>
      <w:r>
        <w:rPr>
          <w:rFonts w:hint="eastAsia" w:ascii="Times New Roman" w:hAnsi="Times New Roman" w:eastAsia="仿宋_GB2312" w:cs="仿宋_GB2312"/>
          <w:i w:val="0"/>
          <w:caps w:val="0"/>
          <w:color w:val="0C0C0C"/>
          <w:spacing w:val="0"/>
          <w:kern w:val="0"/>
          <w:sz w:val="24"/>
          <w:szCs w:val="24"/>
          <w:highlight w:val="none"/>
          <w:lang w:val="en-US" w:eastAsia="zh-CN" w:bidi="ar"/>
        </w:rPr>
        <w:t>[1]登记注册统计类别：根据国家统计局、国家市场监督管理总局《关于市场主体统计分类的划分规定》（国统字〔2023〕14号）确定，包括内资企业、港澳台投资企业和外商投资企业，以及农民专业合作社（联合社）等其他统计类别。</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仿宋_GB2312" w:cs="仿宋_GB2312"/>
          <w:i w:val="0"/>
          <w:caps w:val="0"/>
          <w:color w:val="0C0C0C"/>
          <w:spacing w:val="0"/>
          <w:kern w:val="0"/>
          <w:sz w:val="24"/>
          <w:szCs w:val="24"/>
          <w:highlight w:val="none"/>
          <w:lang w:val="en-US" w:eastAsia="zh-CN" w:bidi="ar"/>
        </w:rPr>
      </w:pPr>
      <w:bookmarkStart w:id="0" w:name="OLE_LINK1"/>
      <w:r>
        <w:rPr>
          <w:rFonts w:hint="eastAsia" w:ascii="Times New Roman" w:hAnsi="Times New Roman" w:eastAsia="仿宋_GB2312" w:cs="仿宋_GB2312"/>
          <w:i w:val="0"/>
          <w:caps w:val="0"/>
          <w:color w:val="0C0C0C"/>
          <w:spacing w:val="0"/>
          <w:kern w:val="0"/>
          <w:sz w:val="24"/>
          <w:szCs w:val="24"/>
          <w:highlight w:val="none"/>
          <w:lang w:val="en-US" w:eastAsia="zh-CN" w:bidi="ar"/>
        </w:rPr>
        <w:t>[2]</w:t>
      </w:r>
      <w:bookmarkEnd w:id="0"/>
      <w:r>
        <w:rPr>
          <w:rFonts w:hint="eastAsia" w:ascii="Times New Roman" w:hAnsi="Times New Roman" w:eastAsia="仿宋_GB2312" w:cs="仿宋_GB2312"/>
          <w:i w:val="0"/>
          <w:caps w:val="0"/>
          <w:color w:val="0C0C0C"/>
          <w:spacing w:val="0"/>
          <w:kern w:val="0"/>
          <w:sz w:val="24"/>
          <w:szCs w:val="24"/>
          <w:highlight w:val="none"/>
          <w:lang w:val="en-US" w:eastAsia="zh-CN" w:bidi="ar"/>
        </w:rPr>
        <w:t>表中的合计数和部分计算数据因小数取舍而产生的误差，均未作机械调整。</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仿宋_GB2312" w:cs="仿宋_GB2312"/>
          <w:i w:val="0"/>
          <w:caps w:val="0"/>
          <w:color w:val="0C0C0C"/>
          <w:spacing w:val="0"/>
          <w:kern w:val="0"/>
          <w:sz w:val="24"/>
          <w:szCs w:val="24"/>
          <w:highlight w:val="none"/>
          <w:lang w:val="en-US" w:eastAsia="zh-CN" w:bidi="ar"/>
        </w:rPr>
      </w:pPr>
      <w:r>
        <w:rPr>
          <w:rFonts w:hint="eastAsia" w:ascii="Times New Roman" w:hAnsi="Times New Roman" w:eastAsia="仿宋_GB2312" w:cs="仿宋_GB2312"/>
          <w:i w:val="0"/>
          <w:caps w:val="0"/>
          <w:color w:val="0C0C0C"/>
          <w:spacing w:val="0"/>
          <w:kern w:val="0"/>
          <w:sz w:val="24"/>
          <w:szCs w:val="24"/>
          <w:highlight w:val="none"/>
          <w:lang w:val="en-US" w:eastAsia="zh-CN" w:bidi="ar"/>
        </w:rPr>
        <w:t>[3]铁路运输业由铁路部门普查登记，数据无法分劈到区级。</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仿宋_GB2312" w:cs="仿宋_GB2312"/>
          <w:i w:val="0"/>
          <w:caps w:val="0"/>
          <w:color w:val="0C0C0C"/>
          <w:spacing w:val="0"/>
          <w:kern w:val="0"/>
          <w:sz w:val="24"/>
          <w:szCs w:val="24"/>
          <w:highlight w:val="none"/>
          <w:lang w:val="en-US" w:eastAsia="zh-CN" w:bidi="ar"/>
        </w:rPr>
      </w:pPr>
      <w:r>
        <w:rPr>
          <w:rFonts w:hint="eastAsia" w:ascii="Times New Roman" w:hAnsi="Times New Roman" w:eastAsia="仿宋_GB2312" w:cs="仿宋_GB2312"/>
          <w:i w:val="0"/>
          <w:caps w:val="0"/>
          <w:color w:val="0C0C0C"/>
          <w:spacing w:val="0"/>
          <w:kern w:val="0"/>
          <w:sz w:val="24"/>
          <w:szCs w:val="24"/>
          <w:highlight w:val="none"/>
          <w:lang w:val="en-US" w:eastAsia="zh-CN" w:bidi="ar"/>
        </w:rPr>
        <w:t>[4]金融业由部门普查并直报国务院经普办，上级普查机构未反馈分区金融业企业法人数据，因此本公报不含金融业。</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仿宋_GB2312" w:cs="仿宋_GB2312"/>
          <w:i w:val="0"/>
          <w:caps w:val="0"/>
          <w:color w:val="0C0C0C"/>
          <w:spacing w:val="0"/>
          <w:kern w:val="0"/>
          <w:sz w:val="24"/>
          <w:szCs w:val="24"/>
          <w:highlight w:val="none"/>
          <w:lang w:val="en-US" w:eastAsia="zh-CN" w:bidi="ar"/>
        </w:rPr>
      </w:pPr>
      <w:r>
        <w:rPr>
          <w:rFonts w:hint="eastAsia" w:ascii="Times New Roman" w:hAnsi="Times New Roman" w:eastAsia="仿宋_GB2312" w:cs="仿宋_GB2312"/>
          <w:i w:val="0"/>
          <w:caps w:val="0"/>
          <w:color w:val="0C0C0C"/>
          <w:spacing w:val="0"/>
          <w:kern w:val="0"/>
          <w:sz w:val="24"/>
          <w:szCs w:val="24"/>
          <w:highlight w:val="none"/>
          <w:lang w:val="en-US" w:eastAsia="zh-CN" w:bidi="ar"/>
        </w:rPr>
        <w:t>[5]“…”表示数据不足该表最小单位。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方正仿宋_GBK" w:cs="Times New Roman"/>
          <w:color w:val="0C0C0C"/>
          <w:kern w:val="2"/>
          <w:sz w:val="28"/>
          <w:szCs w:val="28"/>
          <w:u w:val="none"/>
          <w:lang w:val="en-US" w:eastAsia="zh-CN" w:bidi="ar-SA"/>
        </w:rPr>
      </w:pPr>
      <w:r>
        <w:rPr>
          <w:rFonts w:hint="eastAsia" w:ascii="Times New Roman" w:hAnsi="Times New Roman" w:eastAsia="仿宋_GB2312" w:cs="仿宋_GB2312"/>
          <w:i w:val="0"/>
          <w:caps w:val="0"/>
          <w:color w:val="0C0C0C"/>
          <w:spacing w:val="0"/>
          <w:kern w:val="0"/>
          <w:sz w:val="24"/>
          <w:szCs w:val="24"/>
          <w:highlight w:val="none"/>
          <w:lang w:val="en-US" w:eastAsia="zh-CN" w:bidi="ar"/>
        </w:rPr>
        <w:t>[6]“—”表示该项统计指标数据不详或无该项数据。</w:t>
      </w:r>
    </w:p>
    <w:p>
      <w:pPr>
        <w:rPr>
          <w:rFonts w:hint="eastAsia"/>
          <w:sz w:val="10"/>
          <w:szCs w:val="10"/>
          <w:lang w:val="en-US" w:eastAsia="zh-CN"/>
        </w:rPr>
      </w:pPr>
    </w:p>
    <w:sectPr>
      <w:headerReference r:id="rId4" w:type="default"/>
      <w:footerReference r:id="rId5" w:type="default"/>
      <w:footnotePr>
        <w:numFmt w:val="decimal"/>
        <w:numRestart w:val="eachPage"/>
      </w:footnotePr>
      <w:pgSz w:w="11900" w:h="16820"/>
      <w:pgMar w:top="2098" w:right="1474" w:bottom="1984" w:left="1587" w:header="0" w:footer="964" w:gutter="0"/>
      <w:pgBorders>
        <w:top w:val="none" w:sz="0" w:space="0"/>
        <w:left w:val="none" w:sz="0" w:space="0"/>
        <w:bottom w:val="none" w:sz="0" w:space="0"/>
        <w:right w:val="none" w:sz="0" w:space="0"/>
      </w:pgBorders>
      <w:pgNumType w:fmt="decimal"/>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B6AFCF2-F605-4AC0-AB14-8D8CEADD8D60}"/>
  </w:font>
  <w:font w:name="黑体">
    <w:panose1 w:val="02010609060101010101"/>
    <w:charset w:val="86"/>
    <w:family w:val="auto"/>
    <w:pitch w:val="default"/>
    <w:sig w:usb0="800002BF" w:usb1="38CF7CFA" w:usb2="00000016" w:usb3="00000000" w:csb0="00040001" w:csb1="00000000"/>
    <w:embedRegular r:id="rId2" w:fontKey="{CE90EB8B-04A6-4221-9A2D-75BE35FDE87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04410D87-3D0D-4058-B057-DEEF95470B46}"/>
  </w:font>
  <w:font w:name="Wingdings 2">
    <w:panose1 w:val="05020102010507070707"/>
    <w:charset w:val="00"/>
    <w:family w:val="auto"/>
    <w:pitch w:val="default"/>
    <w:sig w:usb0="00000000" w:usb1="00000000" w:usb2="00000000" w:usb3="00000000" w:csb0="80000000" w:csb1="00000000"/>
  </w:font>
  <w:font w:name="方正小标宋简体">
    <w:panose1 w:val="03000509000000000000"/>
    <w:charset w:val="86"/>
    <w:family w:val="auto"/>
    <w:pitch w:val="default"/>
    <w:sig w:usb0="00000001" w:usb1="080E0000" w:usb2="00000000" w:usb3="00000000" w:csb0="00040000" w:csb1="00000000"/>
    <w:embedRegular r:id="rId4" w:fontKey="{7E077F2A-9767-4C61-8AE6-6E584FA0C229}"/>
  </w:font>
  <w:font w:name="仿宋_GB2312">
    <w:panose1 w:val="02010609030101010101"/>
    <w:charset w:val="86"/>
    <w:family w:val="auto"/>
    <w:pitch w:val="default"/>
    <w:sig w:usb0="00000001" w:usb1="080E0000" w:usb2="00000000" w:usb3="00000000" w:csb0="00040000" w:csb1="00000000"/>
    <w:embedRegular r:id="rId5" w:fontKey="{23E40A06-0BBF-4E9D-9005-FF71D1DA6EC5}"/>
  </w:font>
  <w:font w:name="楷体_GB2312">
    <w:panose1 w:val="02010609030101010101"/>
    <w:charset w:val="86"/>
    <w:family w:val="modern"/>
    <w:pitch w:val="default"/>
    <w:sig w:usb0="00000001" w:usb1="080E0000" w:usb2="00000000" w:usb3="00000000" w:csb0="00040000" w:csb1="00000000"/>
    <w:embedRegular r:id="rId6" w:fontKey="{87B28206-1185-4F3F-8FA4-562DA580D8CC}"/>
  </w:font>
  <w:font w:name="方正仿宋_GBK">
    <w:panose1 w:val="03000509000000000000"/>
    <w:charset w:val="86"/>
    <w:family w:val="auto"/>
    <w:pitch w:val="default"/>
    <w:sig w:usb0="00000000" w:usb1="00000000" w:usb2="00000000" w:usb3="00000000" w:csb0="00000000" w:csb1="00000000"/>
    <w:embedRegular r:id="rId7" w:fontKey="{E2EC126D-077D-49E5-A913-AC6609E20932}"/>
  </w:font>
  <w:font w:name="方正小标宋_GBK">
    <w:altName w:val="Arial Unicode MS"/>
    <w:panose1 w:val="02000000000000000000"/>
    <w:charset w:val="86"/>
    <w:family w:val="auto"/>
    <w:pitch w:val="default"/>
    <w:sig w:usb0="00000000" w:usb1="00000000" w:usb2="00000000" w:usb3="00000000" w:csb0="00040000" w:csb1="00000000"/>
  </w:font>
  <w:font w:name="方正楷体_GBK">
    <w:panose1 w:val="03000509000000000000"/>
    <w:charset w:val="86"/>
    <w:family w:val="auto"/>
    <w:pitch w:val="default"/>
    <w:sig w:usb0="00000000" w:usb1="00000000" w:usb2="00000000" w:usb3="00000000" w:csb0="00000000" w:csb1="00000000"/>
    <w:embedRegular r:id="rId8" w:fontKey="{3CFED644-4103-4D06-B74D-7A2A791C8E19}"/>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default" w:ascii="Times New Roman" w:hAnsi="Times New Roman" w:cs="Times New Roman"/>
                              <w:sz w:val="30"/>
                              <w:szCs w:val="30"/>
                            </w:rPr>
                          </w:pPr>
                          <w:r>
                            <w:rPr>
                              <w:rFonts w:hint="default" w:ascii="Times New Roman" w:hAnsi="Times New Roman" w:cs="Times New Roman"/>
                              <w:sz w:val="30"/>
                              <w:szCs w:val="30"/>
                            </w:rP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default" w:ascii="Times New Roman" w:hAnsi="Times New Roman" w:cs="Times New Roman"/>
                              <w:sz w:val="30"/>
                              <w:szCs w:val="3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doX50U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RtKNFPY0enH99PPh9OvbwQ6ANRaP4PfxsIzdO9MB+dB76GMc3eV&#10;U/HGRAR2QH28wCu6QHgMmk6m0xwmDtvwQP7sMdw6H94Lo0gUCuqwvwQrO6x96F0Hl1hNm1UjZdqh&#10;1KQt6NXrt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B2hfnRQCAAAVBAAADgAAAAAAAAAB&#10;ACAAAAAfAQAAZHJzL2Uyb0RvYy54bWxQSwUGAAAAAAYABgBZAQAApQUAAAAA&#10;">
              <v:fill on="f" focussize="0,0"/>
              <v:stroke on="f" weight="0.5pt"/>
              <v:imagedata o:title=""/>
              <o:lock v:ext="edit" aspectratio="f"/>
              <v:textbox inset="0mm,0mm,0mm,0mm" style="mso-fit-shape-to-text:t;">
                <w:txbxContent>
                  <w:p>
                    <w:pPr>
                      <w:pStyle w:val="6"/>
                      <w:rPr>
                        <w:rFonts w:hint="default" w:ascii="Times New Roman" w:hAnsi="Times New Roman" w:cs="Times New Roman"/>
                        <w:sz w:val="30"/>
                        <w:szCs w:val="30"/>
                      </w:rPr>
                    </w:pPr>
                    <w:r>
                      <w:rPr>
                        <w:rFonts w:hint="default" w:ascii="Times New Roman" w:hAnsi="Times New Roman" w:cs="Times New Roman"/>
                        <w:sz w:val="30"/>
                        <w:szCs w:val="30"/>
                      </w:rP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default" w:ascii="Times New Roman" w:hAnsi="Times New Roman" w:cs="Times New Roman"/>
                        <w:sz w:val="30"/>
                        <w:szCs w:val="30"/>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8"/>
        <w:snapToGrid w:val="0"/>
        <w:spacing w:line="240" w:lineRule="auto"/>
        <w:ind w:firstLine="0" w:firstLineChars="0"/>
        <w:jc w:val="both"/>
        <w:textAlignment w:val="auto"/>
        <w:rPr>
          <w:rFonts w:hint="eastAsia" w:ascii="宋体" w:hAnsi="宋体" w:eastAsia="宋体" w:cs="宋体"/>
          <w:sz w:val="20"/>
          <w:szCs w:val="20"/>
        </w:rPr>
      </w:pPr>
      <w:r>
        <w:rPr>
          <w:rStyle w:val="10"/>
          <w:rFonts w:hint="eastAsia" w:ascii="Calibri" w:hAnsi="Calibri" w:eastAsia="宋体" w:cs="Times New Roman"/>
          <w:sz w:val="20"/>
          <w:szCs w:val="20"/>
          <w:vertAlign w:val="superscript"/>
        </w:rPr>
        <w:footnoteRef/>
      </w:r>
      <w:r>
        <w:rPr>
          <w:rStyle w:val="10"/>
          <w:rFonts w:hint="eastAsia" w:ascii="Calibri" w:hAnsi="Calibri" w:eastAsia="宋体" w:cs="Times New Roman"/>
          <w:sz w:val="20"/>
          <w:szCs w:val="20"/>
          <w:vertAlign w:val="superscript"/>
        </w:rPr>
        <w:t xml:space="preserve"> </w:t>
      </w:r>
      <w:r>
        <w:rPr>
          <w:rStyle w:val="10"/>
          <w:rFonts w:hint="eastAsia" w:ascii="Calibri" w:hAnsi="Calibri" w:eastAsia="宋体" w:cs="Times New Roman"/>
          <w:sz w:val="18"/>
          <w:szCs w:val="18"/>
          <w:vertAlign w:val="baseline"/>
          <w:lang w:val="en-US" w:eastAsia="zh-CN"/>
        </w:rPr>
        <w:t>本</w:t>
      </w:r>
      <w:r>
        <w:rPr>
          <w:rFonts w:hint="eastAsia" w:ascii="宋体" w:hAnsi="宋体" w:eastAsia="宋体" w:cs="宋体"/>
          <w:sz w:val="18"/>
          <w:szCs w:val="18"/>
          <w:lang w:val="en-US" w:eastAsia="zh-CN"/>
        </w:rPr>
        <w:t>公报中的企业法人单位，包括机构类型为企业的法人单位，以及执行企业会计制度的事业法人单位、民办非企业法人单位和基金会，农民专业合作社，农村集体经济组织和除宗教活动场所以外的机构类型为其他组织机构的法人单位。</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val="1"/>
  <w:embedTrueTypeFonts/>
  <w:saveSubsetFonts/>
  <w:documentProtection w:enforcement="0"/>
  <w:characterSpacingControl w:val="doNotCompress"/>
  <w:footnotePr>
    <w:numRestart w:val="eachPage"/>
  </w:footnotePr>
  <w:compat>
    <w:spaceForUL/>
    <w:ulTrailSpace/>
    <w:useFELayout/>
    <w:compatSetting w:name="compatibilityMode" w:uri="http://schemas.microsoft.com/office/word" w:val="14"/>
  </w:compat>
  <w:rsids>
    <w:rsidRoot w:val="00000000"/>
    <w:rsid w:val="005B093D"/>
    <w:rsid w:val="006100AC"/>
    <w:rsid w:val="00D13BC0"/>
    <w:rsid w:val="00F34618"/>
    <w:rsid w:val="01252CE3"/>
    <w:rsid w:val="012845F2"/>
    <w:rsid w:val="01650D8C"/>
    <w:rsid w:val="016D50E6"/>
    <w:rsid w:val="019C290D"/>
    <w:rsid w:val="01A916C8"/>
    <w:rsid w:val="01DD669F"/>
    <w:rsid w:val="026337A1"/>
    <w:rsid w:val="02900CBF"/>
    <w:rsid w:val="02A44DE3"/>
    <w:rsid w:val="03094A24"/>
    <w:rsid w:val="03113767"/>
    <w:rsid w:val="03453536"/>
    <w:rsid w:val="03B76C42"/>
    <w:rsid w:val="03FC2E16"/>
    <w:rsid w:val="044E739D"/>
    <w:rsid w:val="047D0E0B"/>
    <w:rsid w:val="048C56F0"/>
    <w:rsid w:val="04B37C8B"/>
    <w:rsid w:val="04C76EB2"/>
    <w:rsid w:val="04E3095E"/>
    <w:rsid w:val="065A35C8"/>
    <w:rsid w:val="070E76A1"/>
    <w:rsid w:val="079A08D3"/>
    <w:rsid w:val="083168C6"/>
    <w:rsid w:val="09020655"/>
    <w:rsid w:val="09104B78"/>
    <w:rsid w:val="09253680"/>
    <w:rsid w:val="09285E9F"/>
    <w:rsid w:val="0A611896"/>
    <w:rsid w:val="0A872B32"/>
    <w:rsid w:val="0B0009AC"/>
    <w:rsid w:val="0BCD084D"/>
    <w:rsid w:val="0BF81FE7"/>
    <w:rsid w:val="0C154949"/>
    <w:rsid w:val="0C1B6007"/>
    <w:rsid w:val="0C2179AB"/>
    <w:rsid w:val="0D45599A"/>
    <w:rsid w:val="0DBA7538"/>
    <w:rsid w:val="0F434917"/>
    <w:rsid w:val="0F876305"/>
    <w:rsid w:val="10572BB3"/>
    <w:rsid w:val="11592A68"/>
    <w:rsid w:val="12173629"/>
    <w:rsid w:val="12A165D1"/>
    <w:rsid w:val="12F25A14"/>
    <w:rsid w:val="131427E4"/>
    <w:rsid w:val="133A279F"/>
    <w:rsid w:val="13AD22D8"/>
    <w:rsid w:val="14B10A5E"/>
    <w:rsid w:val="14B20501"/>
    <w:rsid w:val="14C03BE3"/>
    <w:rsid w:val="153B638D"/>
    <w:rsid w:val="158013F4"/>
    <w:rsid w:val="15BA6B35"/>
    <w:rsid w:val="15E440F6"/>
    <w:rsid w:val="163B0388"/>
    <w:rsid w:val="164E15A7"/>
    <w:rsid w:val="16DD4926"/>
    <w:rsid w:val="17E65529"/>
    <w:rsid w:val="18D53884"/>
    <w:rsid w:val="18E36FE2"/>
    <w:rsid w:val="190C5C28"/>
    <w:rsid w:val="19533D00"/>
    <w:rsid w:val="19FE6234"/>
    <w:rsid w:val="1AAA694D"/>
    <w:rsid w:val="1BAA2974"/>
    <w:rsid w:val="1BF96AEC"/>
    <w:rsid w:val="1C13269C"/>
    <w:rsid w:val="1C24136B"/>
    <w:rsid w:val="1C654B13"/>
    <w:rsid w:val="1CBC1555"/>
    <w:rsid w:val="1EFA7EE1"/>
    <w:rsid w:val="1FA86D80"/>
    <w:rsid w:val="1FA94802"/>
    <w:rsid w:val="20B65C39"/>
    <w:rsid w:val="20E05A5B"/>
    <w:rsid w:val="214B383A"/>
    <w:rsid w:val="220A11E7"/>
    <w:rsid w:val="22703D10"/>
    <w:rsid w:val="22D75124"/>
    <w:rsid w:val="22DF6543"/>
    <w:rsid w:val="236553F8"/>
    <w:rsid w:val="23A928D9"/>
    <w:rsid w:val="24404E85"/>
    <w:rsid w:val="24A835B0"/>
    <w:rsid w:val="24F301AC"/>
    <w:rsid w:val="265B5E13"/>
    <w:rsid w:val="27DC4D6D"/>
    <w:rsid w:val="29300A52"/>
    <w:rsid w:val="29387FD8"/>
    <w:rsid w:val="295E35EE"/>
    <w:rsid w:val="298869B1"/>
    <w:rsid w:val="298D0E4E"/>
    <w:rsid w:val="299B5324"/>
    <w:rsid w:val="29E069FC"/>
    <w:rsid w:val="29E37561"/>
    <w:rsid w:val="29F16DF3"/>
    <w:rsid w:val="2B866477"/>
    <w:rsid w:val="2CB836F9"/>
    <w:rsid w:val="2D1A097C"/>
    <w:rsid w:val="2D254C1E"/>
    <w:rsid w:val="2D70181A"/>
    <w:rsid w:val="2DB62F5B"/>
    <w:rsid w:val="2DBB6416"/>
    <w:rsid w:val="2EC952CF"/>
    <w:rsid w:val="2F460810"/>
    <w:rsid w:val="300F422D"/>
    <w:rsid w:val="3011436C"/>
    <w:rsid w:val="30196AFA"/>
    <w:rsid w:val="303B192D"/>
    <w:rsid w:val="30B95B83"/>
    <w:rsid w:val="30CA3C5C"/>
    <w:rsid w:val="319D7CBA"/>
    <w:rsid w:val="326C1CFE"/>
    <w:rsid w:val="32E72810"/>
    <w:rsid w:val="33B2575C"/>
    <w:rsid w:val="341D4E0B"/>
    <w:rsid w:val="34AA5967"/>
    <w:rsid w:val="363158E8"/>
    <w:rsid w:val="363D41C8"/>
    <w:rsid w:val="37BE7500"/>
    <w:rsid w:val="37FF125D"/>
    <w:rsid w:val="382F433C"/>
    <w:rsid w:val="38792DCD"/>
    <w:rsid w:val="388749CB"/>
    <w:rsid w:val="38F428B2"/>
    <w:rsid w:val="39303776"/>
    <w:rsid w:val="395A0970"/>
    <w:rsid w:val="39A21B08"/>
    <w:rsid w:val="39B16A37"/>
    <w:rsid w:val="3A23030D"/>
    <w:rsid w:val="3AA10350"/>
    <w:rsid w:val="3AC96C9F"/>
    <w:rsid w:val="3B294BC5"/>
    <w:rsid w:val="3BD55437"/>
    <w:rsid w:val="3BD83E3D"/>
    <w:rsid w:val="3C1F45B2"/>
    <w:rsid w:val="3C936E0F"/>
    <w:rsid w:val="3CE70777"/>
    <w:rsid w:val="3D307C72"/>
    <w:rsid w:val="3D881438"/>
    <w:rsid w:val="3E470969"/>
    <w:rsid w:val="3E625A65"/>
    <w:rsid w:val="3E652753"/>
    <w:rsid w:val="3E6A5EFE"/>
    <w:rsid w:val="3ED01CCD"/>
    <w:rsid w:val="3F560A40"/>
    <w:rsid w:val="3F8A0D84"/>
    <w:rsid w:val="415F3F5F"/>
    <w:rsid w:val="416C4764"/>
    <w:rsid w:val="41887424"/>
    <w:rsid w:val="41BE0CEB"/>
    <w:rsid w:val="42613D77"/>
    <w:rsid w:val="428242AC"/>
    <w:rsid w:val="42E5074D"/>
    <w:rsid w:val="42F27732"/>
    <w:rsid w:val="42F9196C"/>
    <w:rsid w:val="42FD5DF4"/>
    <w:rsid w:val="43F81FA0"/>
    <w:rsid w:val="44DC00EB"/>
    <w:rsid w:val="452D6AB1"/>
    <w:rsid w:val="4610621A"/>
    <w:rsid w:val="46E33968"/>
    <w:rsid w:val="470D5494"/>
    <w:rsid w:val="473E4B6F"/>
    <w:rsid w:val="47A5361A"/>
    <w:rsid w:val="47BE3C82"/>
    <w:rsid w:val="47E40B80"/>
    <w:rsid w:val="482C47F7"/>
    <w:rsid w:val="48A94357"/>
    <w:rsid w:val="493801AD"/>
    <w:rsid w:val="493D6085"/>
    <w:rsid w:val="49734B0E"/>
    <w:rsid w:val="498B69E1"/>
    <w:rsid w:val="49CB1105"/>
    <w:rsid w:val="4A8D525B"/>
    <w:rsid w:val="4ABA06E8"/>
    <w:rsid w:val="4AF314C2"/>
    <w:rsid w:val="4B5E33B5"/>
    <w:rsid w:val="4C07034B"/>
    <w:rsid w:val="4C5D31BE"/>
    <w:rsid w:val="4C8816EA"/>
    <w:rsid w:val="4C8A2770"/>
    <w:rsid w:val="4E2F31D3"/>
    <w:rsid w:val="4EF111CB"/>
    <w:rsid w:val="4F0847BA"/>
    <w:rsid w:val="4FDA071E"/>
    <w:rsid w:val="509C604E"/>
    <w:rsid w:val="513C0F03"/>
    <w:rsid w:val="51D75E36"/>
    <w:rsid w:val="5277735B"/>
    <w:rsid w:val="529F4C9C"/>
    <w:rsid w:val="52AF2D38"/>
    <w:rsid w:val="52BB6B4A"/>
    <w:rsid w:val="55BA5237"/>
    <w:rsid w:val="561C29D4"/>
    <w:rsid w:val="56257A60"/>
    <w:rsid w:val="565C123F"/>
    <w:rsid w:val="56904426"/>
    <w:rsid w:val="573945F7"/>
    <w:rsid w:val="57DD5BC6"/>
    <w:rsid w:val="580515D3"/>
    <w:rsid w:val="59C62624"/>
    <w:rsid w:val="5A5D4984"/>
    <w:rsid w:val="5AAA3A4D"/>
    <w:rsid w:val="5ABC71EA"/>
    <w:rsid w:val="5AF869C4"/>
    <w:rsid w:val="5B9B465A"/>
    <w:rsid w:val="5C084598"/>
    <w:rsid w:val="5C435887"/>
    <w:rsid w:val="5C99056A"/>
    <w:rsid w:val="5D3E3D16"/>
    <w:rsid w:val="5D6836A6"/>
    <w:rsid w:val="5D7B386B"/>
    <w:rsid w:val="5DDA4CE2"/>
    <w:rsid w:val="5DEB2C25"/>
    <w:rsid w:val="5E3E6E2C"/>
    <w:rsid w:val="5E3F0130"/>
    <w:rsid w:val="5EFF6305"/>
    <w:rsid w:val="5F31561F"/>
    <w:rsid w:val="5F3B478D"/>
    <w:rsid w:val="5F983091"/>
    <w:rsid w:val="5FAC7E54"/>
    <w:rsid w:val="60043B33"/>
    <w:rsid w:val="600A090D"/>
    <w:rsid w:val="60F609D6"/>
    <w:rsid w:val="61434A36"/>
    <w:rsid w:val="61D378BD"/>
    <w:rsid w:val="62B21879"/>
    <w:rsid w:val="63611042"/>
    <w:rsid w:val="63863D2C"/>
    <w:rsid w:val="64B35355"/>
    <w:rsid w:val="653D7045"/>
    <w:rsid w:val="65441BB2"/>
    <w:rsid w:val="66736A21"/>
    <w:rsid w:val="67445133"/>
    <w:rsid w:val="67BC20AE"/>
    <w:rsid w:val="67F53B1D"/>
    <w:rsid w:val="68506708"/>
    <w:rsid w:val="68BF6A0A"/>
    <w:rsid w:val="6972401A"/>
    <w:rsid w:val="69B745FF"/>
    <w:rsid w:val="6A01571C"/>
    <w:rsid w:val="6A3C1A58"/>
    <w:rsid w:val="6A92793F"/>
    <w:rsid w:val="6BAE0628"/>
    <w:rsid w:val="6C6B4DFB"/>
    <w:rsid w:val="6D004977"/>
    <w:rsid w:val="6D8416D6"/>
    <w:rsid w:val="6DBA4E34"/>
    <w:rsid w:val="6E881964"/>
    <w:rsid w:val="6EAD30ED"/>
    <w:rsid w:val="6EC34C69"/>
    <w:rsid w:val="6F666DD4"/>
    <w:rsid w:val="6F997223"/>
    <w:rsid w:val="700F5D9E"/>
    <w:rsid w:val="70442B7D"/>
    <w:rsid w:val="71D13952"/>
    <w:rsid w:val="72752D73"/>
    <w:rsid w:val="72D2758C"/>
    <w:rsid w:val="72EE509C"/>
    <w:rsid w:val="731B38CB"/>
    <w:rsid w:val="73832670"/>
    <w:rsid w:val="74191C03"/>
    <w:rsid w:val="742166FE"/>
    <w:rsid w:val="766905FD"/>
    <w:rsid w:val="76724FD8"/>
    <w:rsid w:val="76E93FA1"/>
    <w:rsid w:val="77430539"/>
    <w:rsid w:val="778857AA"/>
    <w:rsid w:val="797B5BDA"/>
    <w:rsid w:val="7A0E4EF2"/>
    <w:rsid w:val="7A3E7E49"/>
    <w:rsid w:val="7A406348"/>
    <w:rsid w:val="7A5955C8"/>
    <w:rsid w:val="7AB4245F"/>
    <w:rsid w:val="7B242672"/>
    <w:rsid w:val="7CB75974"/>
    <w:rsid w:val="7D6E4856"/>
    <w:rsid w:val="7DE114E3"/>
    <w:rsid w:val="7E021846"/>
    <w:rsid w:val="7E230E82"/>
    <w:rsid w:val="7E5A5758"/>
    <w:rsid w:val="7EEF71C5"/>
    <w:rsid w:val="7F9B4A72"/>
    <w:rsid w:val="7FF04D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1"/>
    <w:qFormat/>
    <w:uiPriority w:val="0"/>
    <w:pPr>
      <w:ind w:firstLine="420"/>
    </w:pPr>
    <w:rPr>
      <w:rFonts w:eastAsia="宋体" w:cs="黑体"/>
      <w:szCs w:val="24"/>
    </w:rPr>
  </w:style>
  <w:style w:type="paragraph" w:styleId="3">
    <w:name w:val="Body Text Indent"/>
    <w:basedOn w:val="1"/>
    <w:next w:val="1"/>
    <w:qFormat/>
    <w:uiPriority w:val="99"/>
    <w:pPr>
      <w:widowControl w:val="0"/>
      <w:adjustRightInd w:val="0"/>
      <w:spacing w:line="360" w:lineRule="atLeast"/>
      <w:ind w:firstLine="600"/>
      <w:jc w:val="both"/>
      <w:textAlignment w:val="baseline"/>
    </w:pPr>
    <w:rPr>
      <w:rFonts w:ascii="Calibri" w:hAnsi="Calibri" w:eastAsia="宋体" w:cs="Times New Roman"/>
      <w:kern w:val="0"/>
      <w:sz w:val="30"/>
      <w:szCs w:val="20"/>
      <w:lang w:val="en-US" w:eastAsia="zh-CN" w:bidi="ar-SA"/>
    </w:rPr>
  </w:style>
  <w:style w:type="paragraph" w:styleId="4">
    <w:name w:val="Normal Indent"/>
    <w:basedOn w:val="1"/>
    <w:next w:val="1"/>
    <w:unhideWhenUsed/>
    <w:qFormat/>
    <w:uiPriority w:val="99"/>
    <w:pPr>
      <w:widowControl w:val="0"/>
      <w:ind w:firstLine="420" w:firstLineChars="200"/>
      <w:jc w:val="both"/>
    </w:pPr>
    <w:rPr>
      <w:rFonts w:ascii="Calibri" w:hAnsi="Calibri" w:eastAsia="宋体" w:cs="Times New Roman"/>
      <w:kern w:val="2"/>
      <w:sz w:val="21"/>
      <w:szCs w:val="24"/>
      <w:lang w:val="en-US" w:eastAsia="zh-CN" w:bidi="ar-SA"/>
    </w:rPr>
  </w:style>
  <w:style w:type="paragraph" w:styleId="5">
    <w:name w:val="Body Text"/>
    <w:basedOn w:val="1"/>
    <w:next w:val="1"/>
    <w:semiHidden/>
    <w:qFormat/>
    <w:uiPriority w:val="0"/>
    <w:rPr>
      <w:rFonts w:ascii="Arial" w:hAnsi="Arial" w:eastAsia="Arial" w:cs="Arial"/>
      <w:sz w:val="21"/>
      <w:szCs w:val="21"/>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unhideWhenUsed/>
    <w:qFormat/>
    <w:uiPriority w:val="99"/>
    <w:pPr>
      <w:snapToGrid w:val="0"/>
      <w:jc w:val="left"/>
    </w:pPr>
    <w:rPr>
      <w:sz w:val="18"/>
    </w:rPr>
  </w:style>
  <w:style w:type="character" w:styleId="10">
    <w:name w:val="footnote reference"/>
    <w:basedOn w:val="9"/>
    <w:unhideWhenUsed/>
    <w:qFormat/>
    <w:uiPriority w:val="99"/>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3">
    <w:name w:val="Table Normal"/>
    <w:unhideWhenUsed/>
    <w:qFormat/>
    <w:uiPriority w:val="0"/>
    <w:tblPr>
      <w:tblLayout w:type="fixed"/>
      <w:tblCellMar>
        <w:top w:w="0" w:type="dxa"/>
        <w:left w:w="0" w:type="dxa"/>
        <w:bottom w:w="0" w:type="dxa"/>
        <w:right w:w="0" w:type="dxa"/>
      </w:tblCellMar>
    </w:tblPr>
  </w:style>
  <w:style w:type="paragraph" w:customStyle="1" w:styleId="14">
    <w:name w:val="Body Text First Indent 2"/>
    <w:basedOn w:val="15"/>
    <w:qFormat/>
    <w:uiPriority w:val="0"/>
    <w:pPr>
      <w:spacing w:line="360" w:lineRule="auto"/>
    </w:pPr>
    <w:rPr>
      <w:rFonts w:eastAsia="宋体"/>
      <w:sz w:val="24"/>
    </w:rPr>
  </w:style>
  <w:style w:type="paragraph" w:customStyle="1" w:styleId="15">
    <w:name w:val="Body Text Indent"/>
    <w:basedOn w:val="1"/>
    <w:qFormat/>
    <w:uiPriority w:val="0"/>
    <w:pPr>
      <w:spacing w:line="150" w:lineRule="atLeast"/>
      <w:ind w:firstLine="420" w:firstLineChars="200"/>
      <w:textAlignment w:val="baseline"/>
    </w:pPr>
    <w:rPr>
      <w:rFonts w:ascii="Times New Roman" w:hAnsi="Times New Roman" w:eastAsia="宋体" w:cs="Times New Roman"/>
      <w:sz w:val="21"/>
      <w:szCs w:val="24"/>
      <w:lang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6446</Words>
  <Characters>7812</Characters>
  <TotalTime>0</TotalTime>
  <ScaleCrop>false</ScaleCrop>
  <LinksUpToDate>false</LinksUpToDate>
  <CharactersWithSpaces>8031</CharactersWithSpaces>
  <Application>WPS Office_10.8.0.6206_F1E327BC-269C-435d-A152-05C5408002CA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2025-01-13T09:42:00Z</dcterms:created>
  <dc:creator>Kingsoft-PDF</dc:creator>
  <cp:lastModifiedBy>区统计局</cp:lastModifiedBy>
  <cp:lastPrinted>2025-08-12T03:10:00Z</cp:lastPrinted>
  <dcterms:modified xsi:type="dcterms:W3CDTF">2025-08-15T03:58:18Z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2025-01-13T09:42:29Z</vt:filetime>
  </property>
  <property fmtid="{D5CDD505-2E9C-101B-9397-08002B2CF9AE}" pid="4" name="UsrData">
    <vt:lpwstr>67846f81182be6001f053a9awl</vt:lpwstr>
  </property>
  <property fmtid="{D5CDD505-2E9C-101B-9397-08002B2CF9AE}" pid="5" name="KSOTemplateDocerSaveRecord">
    <vt:lpwstr>eyJoZGlkIjoiZTgzZGMwMzExZjgzNzU4MmEwYWQ5YWFkYWE3ZDI5MmQiLCJ1c2VySWQiOiI0NDMwMzU4MjIifQ==</vt:lpwstr>
  </property>
  <property fmtid="{D5CDD505-2E9C-101B-9397-08002B2CF9AE}" pid="6" name="KSOProductBuildVer">
    <vt:lpwstr>2052-10.8.0.6206</vt:lpwstr>
  </property>
  <property fmtid="{D5CDD505-2E9C-101B-9397-08002B2CF9AE}" pid="7" name="ICV">
    <vt:lpwstr>02D0CCFC5CEB4B3889F0B7BD532313E7_13</vt:lpwstr>
  </property>
</Properties>
</file>