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b/>
          <w:color w:val="auto"/>
          <w:sz w:val="44"/>
        </w:rPr>
      </w:pPr>
      <w:r>
        <w:rPr>
          <w:rFonts w:hint="eastAsia" w:ascii="宋体" w:hAnsi="宋体"/>
          <w:color w:val="auto"/>
          <w:sz w:val="24"/>
        </w:rPr>
        <w:t>附件一：</w:t>
      </w:r>
    </w:p>
    <w:p>
      <w:pPr>
        <w:spacing w:line="360" w:lineRule="auto"/>
        <w:rPr>
          <w:b/>
          <w:color w:val="auto"/>
          <w:sz w:val="44"/>
        </w:rPr>
      </w:pPr>
    </w:p>
    <w:p>
      <w:pPr>
        <w:jc w:val="center"/>
        <w:rPr>
          <w:b/>
          <w:color w:val="auto"/>
          <w:sz w:val="44"/>
          <w:szCs w:val="44"/>
        </w:rPr>
      </w:pPr>
      <w:r>
        <w:rPr>
          <w:rFonts w:hint="eastAsia"/>
          <w:b/>
          <w:color w:val="auto"/>
          <w:kern w:val="0"/>
          <w:sz w:val="44"/>
          <w:szCs w:val="44"/>
        </w:rPr>
        <w:t>投标人</w:t>
      </w:r>
      <w:r>
        <w:rPr>
          <w:rFonts w:hint="eastAsia"/>
          <w:b/>
          <w:color w:val="auto"/>
          <w:sz w:val="44"/>
          <w:szCs w:val="44"/>
        </w:rPr>
        <w:t>声明</w:t>
      </w:r>
      <w:r>
        <w:rPr>
          <w:rFonts w:hint="eastAsia"/>
          <w:b/>
          <w:color w:val="auto"/>
          <w:sz w:val="44"/>
          <w:szCs w:val="44"/>
          <w:lang w:eastAsia="zh-CN"/>
        </w:rPr>
        <w:t>（</w:t>
      </w:r>
      <w:r>
        <w:rPr>
          <w:rFonts w:hint="eastAsia"/>
          <w:b/>
          <w:color w:val="auto"/>
          <w:sz w:val="44"/>
          <w:szCs w:val="44"/>
          <w:lang w:val="en-US" w:eastAsia="zh-CN"/>
        </w:rPr>
        <w:t>一</w:t>
      </w:r>
      <w:r>
        <w:rPr>
          <w:rFonts w:hint="eastAsia"/>
          <w:b/>
          <w:color w:val="auto"/>
          <w:sz w:val="44"/>
          <w:szCs w:val="44"/>
          <w:lang w:eastAsia="zh-CN"/>
        </w:rPr>
        <w:t>）</w:t>
      </w:r>
    </w:p>
    <w:p>
      <w:pPr>
        <w:jc w:val="center"/>
        <w:rPr>
          <w:b/>
          <w:color w:val="auto"/>
          <w:sz w:val="44"/>
          <w:szCs w:val="44"/>
        </w:rPr>
      </w:pPr>
    </w:p>
    <w:p>
      <w:pPr>
        <w:pStyle w:val="10"/>
        <w:keepNext w:val="0"/>
        <w:keepLines w:val="0"/>
        <w:pageBreakBefore w:val="0"/>
        <w:kinsoku/>
        <w:wordWrap/>
        <w:overflowPunct/>
        <w:topLinePunct w:val="0"/>
        <w:autoSpaceDE/>
        <w:autoSpaceDN/>
        <w:bidi w:val="0"/>
        <w:adjustRightInd/>
        <w:spacing w:line="360" w:lineRule="auto"/>
        <w:ind w:firstLine="0"/>
        <w:textAlignment w:val="auto"/>
        <w:rPr>
          <w:rFonts w:ascii="宋体" w:hAnsi="宋体" w:eastAsia="宋体"/>
          <w:color w:val="auto"/>
          <w:sz w:val="24"/>
          <w:szCs w:val="24"/>
        </w:rPr>
      </w:pPr>
      <w:r>
        <w:rPr>
          <w:rFonts w:hint="eastAsia" w:ascii="宋体" w:hAnsi="宋体" w:eastAsia="宋体"/>
          <w:color w:val="auto"/>
          <w:sz w:val="24"/>
          <w:szCs w:val="24"/>
        </w:rPr>
        <w:t>本招标项目招标人及招标监管机构：</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本公司就参加</w:t>
      </w:r>
      <w:r>
        <w:rPr>
          <w:rFonts w:ascii="宋体" w:hAnsi="宋体" w:eastAsia="宋体"/>
          <w:color w:val="auto"/>
          <w:sz w:val="24"/>
          <w:szCs w:val="24"/>
          <w:u w:val="single"/>
        </w:rPr>
        <w:t xml:space="preserve">                        </w:t>
      </w:r>
      <w:r>
        <w:rPr>
          <w:rFonts w:hint="eastAsia" w:ascii="宋体" w:hAnsi="宋体" w:eastAsia="宋体"/>
          <w:color w:val="auto"/>
          <w:sz w:val="24"/>
          <w:szCs w:val="24"/>
        </w:rPr>
        <w:t>投标工作，作出郑重声明：</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一、本公司保证投标文件及其后提供的一切材料都是真实</w:t>
      </w:r>
      <w:r>
        <w:rPr>
          <w:rFonts w:hint="eastAsia" w:ascii="宋体" w:hAnsi="宋体" w:eastAsia="宋体"/>
          <w:color w:val="auto"/>
          <w:sz w:val="24"/>
          <w:szCs w:val="24"/>
          <w:lang w:eastAsia="zh-CN"/>
        </w:rPr>
        <w:t>的</w:t>
      </w:r>
      <w:r>
        <w:rPr>
          <w:rFonts w:hint="eastAsia" w:ascii="宋体" w:hAnsi="宋体" w:eastAsia="宋体"/>
          <w:color w:val="auto"/>
          <w:sz w:val="24"/>
          <w:szCs w:val="24"/>
        </w:rPr>
        <w:t>、完整的</w:t>
      </w:r>
      <w:r>
        <w:rPr>
          <w:rFonts w:hint="eastAsia" w:ascii="宋体" w:hAnsi="宋体" w:eastAsia="宋体"/>
          <w:color w:val="auto"/>
          <w:sz w:val="24"/>
          <w:szCs w:val="24"/>
          <w:lang w:eastAsia="zh-CN"/>
        </w:rPr>
        <w:t>、合法的。</w:t>
      </w:r>
      <w:r>
        <w:rPr>
          <w:rFonts w:hint="eastAsia" w:ascii="宋体" w:hAnsi="宋体" w:eastAsia="宋体"/>
          <w:color w:val="auto"/>
          <w:sz w:val="24"/>
          <w:szCs w:val="24"/>
        </w:rPr>
        <w:t>如我司成为本项目中标候选人，我司同意并授权招标人将我司投标文件商务部分的人员、业绩、奖项等资料进行公开。</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二、本公司承诺遵循公平、公正、公开、诚实信用原则，在本项目投标中诚信投标，在本项目投标中不与其他单位围标、串标，不出让投标资格，不向招标人或评标委员会成员行贿，不存在少放、不放业绩、奖项等客观评审资料，减少自身竞争力的情形，若存在以上情形的，将自愿接受被招标人列入拒绝投标名单，不能参与招标人后续招标项目的投标。</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三、本公司不存在下列情形之一：</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（一）为招标人不具有独立法人资格的附属机构（单位）；</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（二）为本标段前期准备提供设计或咨询服务或者与本项目设计人或提供咨询服务的机构存在附属关系的；</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（三）为本标段监理人或者与本标段监理人存在隶属关系或者其他利害关系；</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（四）为本标段的代建人；</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（五）为本标段提供招标代理服务的；</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（六）与本标段的监理人或代建人或招标代理机构同为一个法定代表人的；</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（七）与本标段的监理人或代建人或招标代理机构互相控股或参股的；</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（八）与本标段的监理人或代建人或招标代理机构相互任职或工作的；</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（九）与本标段的检测机构有隶属关系或者其他利害关系；</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 xml:space="preserve">（十）与招标人存在利害关系且可能影响招标公正性； </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（十一）被依法暂停或取消投标资格的；（</w:t>
      </w:r>
      <w:r>
        <w:rPr>
          <w:rFonts w:hint="eastAsia" w:ascii="宋体" w:hAnsi="宋体" w:eastAsia="宋体"/>
          <w:color w:val="auto"/>
          <w:sz w:val="24"/>
          <w:szCs w:val="24"/>
          <w:lang w:val="zh-CN"/>
        </w:rPr>
        <w:t>本项事实应当以根据《中华人民共和国行政处罚法》依法作出并已经生效的行政处罚决定为认定依据。行政处罚决定中已经明确的暂停或取消投标资格的区域范围不包含本标段建设地点的，</w:t>
      </w:r>
      <w:r>
        <w:rPr>
          <w:rStyle w:val="9"/>
          <w:rFonts w:hint="eastAsia" w:ascii="宋体" w:hAnsi="宋体" w:eastAsia="宋体"/>
          <w:color w:val="auto"/>
          <w:kern w:val="2"/>
          <w:sz w:val="24"/>
          <w:szCs w:val="24"/>
        </w:rPr>
        <w:t>或者已过处罚期限的，</w:t>
      </w:r>
      <w:r>
        <w:rPr>
          <w:rFonts w:hint="eastAsia" w:ascii="宋体" w:hAnsi="宋体" w:eastAsia="宋体"/>
          <w:color w:val="auto"/>
          <w:sz w:val="24"/>
          <w:szCs w:val="24"/>
          <w:lang w:val="zh-CN"/>
        </w:rPr>
        <w:t>不受该项规定限制</w:t>
      </w:r>
      <w:r>
        <w:rPr>
          <w:rFonts w:hint="eastAsia" w:ascii="宋体" w:hAnsi="宋体" w:eastAsia="宋体"/>
          <w:color w:val="auto"/>
          <w:sz w:val="24"/>
          <w:szCs w:val="24"/>
        </w:rPr>
        <w:t xml:space="preserve">） </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（十二）被责令停产停业、暂扣或者吊销许可证、暂扣或者吊销执照的（</w:t>
      </w:r>
      <w:r>
        <w:rPr>
          <w:rFonts w:hint="eastAsia" w:ascii="宋体" w:hAnsi="宋体" w:eastAsia="宋体"/>
          <w:color w:val="auto"/>
          <w:sz w:val="24"/>
          <w:szCs w:val="24"/>
          <w:lang w:val="zh-CN"/>
        </w:rPr>
        <w:t>本项事实应当以根据《中华人民共和国行政处罚法》依法作出并已经生效的行政处罚决定为认定依据。</w:t>
      </w:r>
      <w:r>
        <w:rPr>
          <w:rFonts w:hint="eastAsia" w:ascii="宋体" w:hAnsi="宋体" w:eastAsia="宋体"/>
          <w:color w:val="auto"/>
          <w:sz w:val="24"/>
          <w:szCs w:val="24"/>
        </w:rPr>
        <w:t>）；</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（十三）进入清算程序，或被宣布破产，或其他丧失履约能力的情形；</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eastAsia="宋体"/>
          <w:color w:val="auto"/>
          <w:sz w:val="24"/>
          <w:szCs w:val="24"/>
        </w:rPr>
        <w:t>（十四）在最近三年内有严重违约或重大工程质量问题的；（</w:t>
      </w:r>
      <w:r>
        <w:rPr>
          <w:rFonts w:hint="eastAsia" w:ascii="宋体" w:hAnsi="宋体" w:eastAsia="宋体"/>
          <w:color w:val="auto"/>
          <w:sz w:val="24"/>
          <w:szCs w:val="24"/>
          <w:lang w:val="zh-CN"/>
        </w:rPr>
        <w:t>“严重违约”事实应当以</w:t>
      </w:r>
      <w:r>
        <w:rPr>
          <w:rFonts w:hint="eastAsia" w:ascii="宋体" w:hAnsi="宋体" w:eastAsia="宋体"/>
          <w:color w:val="auto"/>
          <w:sz w:val="24"/>
          <w:szCs w:val="24"/>
        </w:rPr>
        <w:t>司法机关、仲裁机构出具的认定文件为准。“重大工程质量问题”应当以相关行业主管部门的行政处罚决定或者司法机关出具的有关法律文书为准。“最近三年”是指从投标截止时间之日起逆推三年，以相关行业主管部门、司法机关、仲裁机构出具的生效文件的落款时间起计算）</w:t>
      </w:r>
      <w:r>
        <w:rPr>
          <w:rFonts w:hint="eastAsia" w:ascii="宋体" w:hAnsi="宋体" w:eastAsia="宋体"/>
          <w:color w:val="auto"/>
          <w:sz w:val="24"/>
          <w:szCs w:val="24"/>
          <w:lang w:eastAsia="zh-CN"/>
        </w:rPr>
        <w:t>；</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（十五）法律法规规定的其他情形。</w:t>
      </w:r>
    </w:p>
    <w:p>
      <w:pPr>
        <w:pStyle w:val="10"/>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四、本公司保证：本项目拟派的项目负责人没有在其他在建项目中任施工单位项目负责人，本项目拟派的专职安全员没有在其他在建项目中任职。</w:t>
      </w:r>
    </w:p>
    <w:p>
      <w:pPr>
        <w:pStyle w:val="10"/>
        <w:keepNext w:val="0"/>
        <w:keepLines w:val="0"/>
        <w:pageBreakBefore w:val="0"/>
        <w:numPr>
          <w:ilvl w:val="0"/>
          <w:numId w:val="0"/>
        </w:numPr>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五、本公司已经对投标时拟投入本项目的管理团队和专业技术人员进行了自查，保证拟投入的所有人员都是本单位正式人员，都在本单位缴纳社保，不存在持证人注册单位与实际工作单位不符、买卖租借（专业）资格（注册）证书等“挂证”违法违规行为。</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六、本公司承诺，中标后不转包或违法分包，在施工过程中，严格执行安全生产相关管理规定；依法按照国家、省、市的有关规定发包劳务或使用自有劳务队伍，依法按时足额支付工程款给分包单位（如有）和支付</w:t>
      </w:r>
      <w:bookmarkStart w:id="0" w:name="_GoBack"/>
      <w:bookmarkEnd w:id="0"/>
      <w:r>
        <w:rPr>
          <w:rFonts w:hint="eastAsia" w:ascii="宋体" w:hAnsi="宋体" w:eastAsia="宋体"/>
          <w:color w:val="auto"/>
          <w:sz w:val="24"/>
          <w:szCs w:val="24"/>
        </w:rPr>
        <w:t>工资给劳务工人，不以工程款未到位为由克扣或拖欠工人工资。</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七、（适用于施工总承包招标项目）本公司承诺，切实落实《住房城乡建设部 人力资源社会保障部关于印发建筑工人实名管理办法（试行）的通知》（建市〔2019〕18号）、《广东省建设工程领域工人工资支付专用账户管理办法》（粤人社规〔2018〕14号）、《广州市住房和城乡建设局关于印发&lt;广州市建筑施工实名制管理办法&gt;的通知》（穗建规字〔2020〕18号）、《广州市建设领域工人工资支付分账管理实施细则》（穗建规字〔2020〕37号）、《关于印发广州市房屋建筑及市政工程实名制和工资支付分账平台化管理工作方案的通知》（穗建筑〔2018〕183号）、《广州市住房和城乡建设委员会关于转发&lt;广东省住房和城乡建设厅关于房屋建筑和市政基础设施工程用工实名管理暂行办法&gt;的通知》（穗建筑〔2018〕981号）等关于用工实名制和工人工资支付分账管理的各项规定。中标后将利用信息技术手段，采用人脸、指纹、虹膜等生物识别技术进行电子打卡，实施考勤管理，对施工现场人员建立基本信息档案、实行实名制管理的制度并按照工程进度将建筑工人工资通过本企业在银行开设的工资专用账户按时足额支付。我公司对实名制管理负总责。若本项目在经招标人认可后，部分专业工程依法分包或实行劳务分包的，我公司对专业分包企业和劳务分包企业实施统一管理，监督其用工企业按时足额支付作业工人工资，督促落实实名制管理制度。本公司接受招标人及建设行政主管部门的监督、检查。（适用于施工总承包招标项目）。</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八、与本公司单位负责人为同一人或者与本公司存在控股、管理关系的其他单位包括：</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。（注：本条由投标人如实填写，如有，应列出全部满足招标公告资质要求的相关单位的名称；如无，则填写“无”。）</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rPr>
        <w:t>九、（适用于有余泥渣土产生的项目，如无，则删除）本公司拟委派专职安全员兼任本工程的工地余泥渣土运输与排放管理员，严格遵守建设工程余泥渣土运输与排放管理制度，执行“一不准进、三不准出”规定，选择合法的余泥渣土运输单位及排放点。</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eastAsia="宋体"/>
          <w:color w:val="auto"/>
          <w:sz w:val="24"/>
          <w:szCs w:val="24"/>
        </w:rPr>
        <w:t>十、本公司承诺，中标后将按招标人要求，积极响应广州市关于投身“百千万工程”的号召，主动参与建筑业结对帮扶</w:t>
      </w:r>
      <w:r>
        <w:rPr>
          <w:rFonts w:hint="eastAsia" w:ascii="宋体" w:hAnsi="宋体" w:eastAsia="宋体"/>
          <w:color w:val="auto"/>
          <w:sz w:val="24"/>
          <w:szCs w:val="24"/>
          <w:lang w:eastAsia="zh-CN"/>
        </w:rPr>
        <w:t>。</w:t>
      </w:r>
    </w:p>
    <w:p>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eastAsia="宋体"/>
          <w:color w:val="auto"/>
          <w:sz w:val="24"/>
          <w:szCs w:val="24"/>
        </w:rPr>
      </w:pPr>
      <w:r>
        <w:rPr>
          <w:rFonts w:hint="eastAsia" w:ascii="宋体" w:hAnsi="宋体" w:eastAsia="宋体"/>
          <w:color w:val="auto"/>
          <w:sz w:val="24"/>
          <w:szCs w:val="24"/>
          <w:lang w:eastAsia="zh-CN"/>
        </w:rPr>
        <w:t>十一、</w:t>
      </w:r>
      <w:r>
        <w:rPr>
          <w:rFonts w:hint="eastAsia" w:ascii="宋体" w:hAnsi="宋体" w:eastAsia="宋体"/>
          <w:color w:val="auto"/>
          <w:sz w:val="24"/>
          <w:szCs w:val="24"/>
        </w:rPr>
        <w:t>如果本公司使用采用告知承诺制方式取得的资质参与本项目投标，该资质经资质审批部门核查被依法注销的，本公司承诺自动放弃投标及中标资格。如经查实该资质为以欺骗等不正当手段取得的，将依法接受监督部门的行政处罚。</w:t>
      </w:r>
    </w:p>
    <w:p>
      <w:pPr>
        <w:pStyle w:val="10"/>
        <w:keepNext w:val="0"/>
        <w:keepLines w:val="0"/>
        <w:pageBreakBefore w:val="0"/>
        <w:kinsoku/>
        <w:wordWrap/>
        <w:overflowPunct/>
        <w:topLinePunct w:val="0"/>
        <w:autoSpaceDE/>
        <w:autoSpaceDN/>
        <w:bidi w:val="0"/>
        <w:adjustRightInd/>
        <w:spacing w:line="360" w:lineRule="auto"/>
        <w:ind w:firstLine="480" w:firstLineChars="200"/>
        <w:jc w:val="both"/>
        <w:textAlignment w:val="auto"/>
        <w:rPr>
          <w:rFonts w:hint="eastAsia" w:ascii="宋体" w:hAnsi="宋体" w:eastAsia="宋体"/>
          <w:color w:val="auto"/>
          <w:sz w:val="24"/>
          <w:szCs w:val="24"/>
          <w:lang w:eastAsia="zh-CN"/>
        </w:rPr>
      </w:pPr>
      <w:r>
        <w:rPr>
          <w:rFonts w:hint="eastAsia" w:ascii="宋体" w:hAnsi="宋体" w:eastAsia="宋体"/>
          <w:color w:val="auto"/>
          <w:sz w:val="24"/>
          <w:szCs w:val="24"/>
          <w:lang w:eastAsia="zh-CN"/>
        </w:rPr>
        <w:t>十二、本公司承诺，中标后</w:t>
      </w:r>
      <w:r>
        <w:rPr>
          <w:rFonts w:hint="eastAsia" w:ascii="宋体" w:hAnsi="宋体" w:eastAsia="宋体"/>
          <w:color w:val="auto"/>
          <w:sz w:val="24"/>
          <w:szCs w:val="24"/>
          <w:lang w:val="en-US" w:eastAsia="zh-CN"/>
        </w:rPr>
        <w:t>不委托近两年因伪造检测数据、出具虚假检测报告被各级建设行政主管部门或市场监督管理部门行政处罚或通报的检测单位负责本项目的检测工作</w:t>
      </w:r>
      <w:r>
        <w:rPr>
          <w:rFonts w:hint="eastAsia" w:ascii="宋体" w:hAnsi="宋体" w:eastAsia="宋体"/>
          <w:color w:val="auto"/>
          <w:sz w:val="24"/>
          <w:szCs w:val="24"/>
          <w:lang w:eastAsia="zh-CN"/>
        </w:rPr>
        <w:t>。</w:t>
      </w:r>
    </w:p>
    <w:p>
      <w:pPr>
        <w:pStyle w:val="10"/>
        <w:keepNext w:val="0"/>
        <w:keepLines w:val="0"/>
        <w:pageBreakBefore w:val="0"/>
        <w:kinsoku/>
        <w:wordWrap/>
        <w:overflowPunct/>
        <w:topLinePunct w:val="0"/>
        <w:autoSpaceDE/>
        <w:autoSpaceDN/>
        <w:bidi w:val="0"/>
        <w:adjustRightInd/>
        <w:spacing w:line="360" w:lineRule="auto"/>
        <w:ind w:firstLine="480" w:firstLineChars="200"/>
        <w:jc w:val="left"/>
        <w:textAlignment w:val="auto"/>
        <w:rPr>
          <w:rFonts w:hint="eastAsia" w:ascii="宋体" w:hAnsi="宋体" w:eastAsia="宋体"/>
          <w:color w:val="auto"/>
          <w:sz w:val="24"/>
          <w:szCs w:val="24"/>
        </w:rPr>
      </w:pPr>
      <w:r>
        <w:rPr>
          <w:rFonts w:hint="eastAsia" w:ascii="宋体" w:hAnsi="宋体" w:eastAsia="宋体"/>
          <w:color w:val="auto"/>
          <w:sz w:val="24"/>
          <w:szCs w:val="24"/>
        </w:rPr>
        <w:t>十</w:t>
      </w:r>
      <w:r>
        <w:rPr>
          <w:rFonts w:hint="eastAsia" w:ascii="宋体" w:hAnsi="宋体" w:eastAsia="宋体"/>
          <w:color w:val="auto"/>
          <w:sz w:val="24"/>
          <w:szCs w:val="24"/>
          <w:lang w:eastAsia="zh-CN"/>
        </w:rPr>
        <w:t>三</w:t>
      </w:r>
      <w:r>
        <w:rPr>
          <w:rFonts w:hint="eastAsia" w:ascii="宋体" w:hAnsi="宋体" w:eastAsia="宋体"/>
          <w:color w:val="auto"/>
          <w:sz w:val="24"/>
          <w:szCs w:val="24"/>
        </w:rPr>
        <w:t>、</w:t>
      </w:r>
      <w:r>
        <w:rPr>
          <w:rFonts w:hint="eastAsia" w:ascii="宋体" w:hAnsi="宋体" w:eastAsia="宋体" w:cs="宋体"/>
          <w:color w:val="auto"/>
          <w:sz w:val="21"/>
          <w:szCs w:val="21"/>
        </w:rPr>
        <w:t>本公司违反上述承诺，或本声明陈述与事实不符，经查实，本公司愿意接受公开</w:t>
      </w:r>
      <w:r>
        <w:rPr>
          <w:rFonts w:hint="eastAsia" w:ascii="宋体" w:hAnsi="宋体" w:eastAsia="宋体" w:cs="宋体"/>
          <w:color w:val="auto"/>
          <w:sz w:val="21"/>
          <w:szCs w:val="21"/>
          <w:lang w:val="en-US" w:eastAsia="zh-CN"/>
        </w:rPr>
        <w:t>年的</w:t>
      </w:r>
      <w:r>
        <w:rPr>
          <w:rFonts w:hint="eastAsia" w:ascii="宋体" w:hAnsi="宋体" w:eastAsia="宋体" w:cs="宋体"/>
          <w:color w:val="auto"/>
          <w:sz w:val="21"/>
          <w:szCs w:val="21"/>
        </w:rPr>
        <w:t>通报，</w:t>
      </w:r>
      <w:r>
        <w:rPr>
          <w:rFonts w:hint="eastAsia" w:ascii="宋体" w:hAnsi="宋体" w:eastAsia="宋体" w:cs="宋体"/>
          <w:b/>
          <w:bCs/>
          <w:color w:val="auto"/>
          <w:sz w:val="21"/>
          <w:szCs w:val="21"/>
        </w:rPr>
        <w:t>愿意按照广州市交通运输局有关信用</w:t>
      </w:r>
      <w:r>
        <w:rPr>
          <w:rFonts w:hint="eastAsia" w:ascii="宋体" w:hAnsi="宋体" w:eastAsia="宋体" w:cs="宋体"/>
          <w:b/>
          <w:bCs/>
          <w:color w:val="auto"/>
          <w:sz w:val="21"/>
          <w:szCs w:val="21"/>
          <w:lang w:eastAsia="zh-CN"/>
        </w:rPr>
        <w:t>评价管理</w:t>
      </w:r>
      <w:r>
        <w:rPr>
          <w:rFonts w:hint="eastAsia" w:ascii="宋体" w:hAnsi="宋体" w:eastAsia="宋体" w:cs="宋体"/>
          <w:b/>
          <w:bCs/>
          <w:color w:val="auto"/>
          <w:sz w:val="21"/>
          <w:szCs w:val="21"/>
        </w:rPr>
        <w:t>有关规定，被记录为“不良</w:t>
      </w:r>
      <w:r>
        <w:rPr>
          <w:rFonts w:hint="eastAsia" w:ascii="宋体" w:hAnsi="宋体" w:eastAsia="宋体" w:cs="宋体"/>
          <w:b/>
          <w:bCs/>
          <w:color w:val="auto"/>
          <w:sz w:val="21"/>
          <w:szCs w:val="21"/>
          <w:lang w:eastAsia="zh-CN"/>
        </w:rPr>
        <w:t>交易行为</w:t>
      </w:r>
      <w:r>
        <w:rPr>
          <w:rFonts w:hint="eastAsia" w:ascii="宋体" w:hAnsi="宋体" w:eastAsia="宋体" w:cs="宋体"/>
          <w:b/>
          <w:bCs/>
          <w:color w:val="auto"/>
          <w:sz w:val="21"/>
          <w:szCs w:val="21"/>
        </w:rPr>
        <w:t>信息”</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月</w:t>
      </w:r>
      <w:r>
        <w:rPr>
          <w:rFonts w:hint="eastAsia" w:ascii="宋体" w:hAnsi="宋体" w:eastAsia="宋体" w:cs="宋体"/>
          <w:color w:val="auto"/>
          <w:sz w:val="21"/>
          <w:szCs w:val="21"/>
        </w:rPr>
        <w:t>承担由此带来的法律后果</w:t>
      </w:r>
      <w:r>
        <w:rPr>
          <w:rFonts w:hint="eastAsia" w:ascii="宋体" w:hAnsi="宋体" w:eastAsia="宋体"/>
          <w:color w:val="auto"/>
          <w:sz w:val="24"/>
          <w:szCs w:val="24"/>
        </w:rPr>
        <w:t>。</w:t>
      </w:r>
    </w:p>
    <w:p>
      <w:pPr>
        <w:pStyle w:val="10"/>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olor w:val="auto"/>
          <w:sz w:val="24"/>
          <w:szCs w:val="24"/>
        </w:rPr>
      </w:pPr>
      <w:r>
        <w:rPr>
          <w:rFonts w:hint="eastAsia" w:ascii="宋体" w:hAnsi="宋体" w:eastAsia="宋体"/>
          <w:color w:val="auto"/>
          <w:sz w:val="24"/>
          <w:szCs w:val="24"/>
        </w:rPr>
        <w:t>特此声明</w:t>
      </w:r>
    </w:p>
    <w:p>
      <w:pPr>
        <w:pStyle w:val="10"/>
        <w:keepNext w:val="0"/>
        <w:keepLines w:val="0"/>
        <w:pageBreakBefore w:val="0"/>
        <w:kinsoku/>
        <w:wordWrap/>
        <w:overflowPunct/>
        <w:topLinePunct w:val="0"/>
        <w:autoSpaceDE/>
        <w:autoSpaceDN/>
        <w:bidi w:val="0"/>
        <w:adjustRightInd/>
        <w:spacing w:line="360" w:lineRule="auto"/>
        <w:ind w:firstLine="0"/>
        <w:textAlignment w:val="auto"/>
        <w:rPr>
          <w:rFonts w:hint="eastAsia" w:ascii="宋体" w:hAnsi="宋体" w:eastAsia="宋体"/>
          <w:color w:val="auto"/>
          <w:sz w:val="24"/>
          <w:szCs w:val="24"/>
        </w:rPr>
      </w:pPr>
    </w:p>
    <w:p>
      <w:pPr>
        <w:pStyle w:val="11"/>
        <w:keepNext w:val="0"/>
        <w:keepLines w:val="0"/>
        <w:pageBreakBefore w:val="0"/>
        <w:kinsoku/>
        <w:wordWrap/>
        <w:overflowPunct/>
        <w:topLinePunct w:val="0"/>
        <w:autoSpaceDE/>
        <w:autoSpaceDN/>
        <w:bidi w:val="0"/>
        <w:adjustRightInd/>
        <w:spacing w:line="360" w:lineRule="auto"/>
        <w:ind w:left="629" w:right="1449"/>
        <w:jc w:val="both"/>
        <w:textAlignment w:val="auto"/>
        <w:rPr>
          <w:rFonts w:ascii="宋体" w:hAnsi="宋体" w:eastAsia="宋体"/>
          <w:color w:val="auto"/>
          <w:sz w:val="24"/>
          <w:szCs w:val="24"/>
        </w:rPr>
      </w:pPr>
      <w:r>
        <w:rPr>
          <w:rFonts w:hint="eastAsia" w:ascii="宋体" w:hAnsi="宋体" w:eastAsia="宋体"/>
          <w:color w:val="auto"/>
          <w:sz w:val="24"/>
          <w:szCs w:val="24"/>
        </w:rPr>
        <w:t xml:space="preserve">   </w:t>
      </w:r>
      <w:r>
        <w:rPr>
          <w:rFonts w:ascii="宋体" w:hAnsi="宋体" w:eastAsia="宋体"/>
          <w:color w:val="auto"/>
          <w:sz w:val="24"/>
          <w:szCs w:val="24"/>
        </w:rPr>
        <w:t xml:space="preserve">          </w:t>
      </w:r>
      <w:r>
        <w:rPr>
          <w:rFonts w:hint="eastAsia" w:ascii="宋体" w:hAnsi="宋体" w:eastAsia="宋体"/>
          <w:color w:val="auto"/>
          <w:sz w:val="24"/>
          <w:szCs w:val="24"/>
        </w:rPr>
        <w:t xml:space="preserve">           声明企业：</w:t>
      </w:r>
    </w:p>
    <w:p>
      <w:pPr>
        <w:pStyle w:val="10"/>
        <w:keepNext w:val="0"/>
        <w:keepLines w:val="0"/>
        <w:pageBreakBefore w:val="0"/>
        <w:kinsoku/>
        <w:wordWrap/>
        <w:overflowPunct/>
        <w:topLinePunct w:val="0"/>
        <w:autoSpaceDE/>
        <w:autoSpaceDN/>
        <w:bidi w:val="0"/>
        <w:adjustRightInd/>
        <w:spacing w:line="360" w:lineRule="auto"/>
        <w:ind w:right="1179" w:firstLine="0"/>
        <w:textAlignment w:val="auto"/>
        <w:rPr>
          <w:rFonts w:ascii="宋体" w:hAnsi="宋体" w:eastAsia="宋体"/>
          <w:color w:val="auto"/>
          <w:sz w:val="24"/>
          <w:szCs w:val="24"/>
        </w:rPr>
      </w:pPr>
      <w:r>
        <w:rPr>
          <w:rFonts w:hint="eastAsia" w:ascii="宋体" w:hAnsi="宋体" w:eastAsia="宋体"/>
          <w:color w:val="auto"/>
          <w:sz w:val="24"/>
          <w:szCs w:val="24"/>
        </w:rPr>
        <w:t xml:space="preserve">                             法定代表人或授权代理人签字：</w:t>
      </w:r>
    </w:p>
    <w:p>
      <w:pPr>
        <w:pStyle w:val="10"/>
        <w:keepNext w:val="0"/>
        <w:keepLines w:val="0"/>
        <w:pageBreakBefore w:val="0"/>
        <w:kinsoku/>
        <w:wordWrap/>
        <w:overflowPunct/>
        <w:topLinePunct w:val="0"/>
        <w:autoSpaceDE/>
        <w:autoSpaceDN/>
        <w:bidi w:val="0"/>
        <w:adjustRightInd/>
        <w:spacing w:line="360" w:lineRule="auto"/>
        <w:ind w:right="1179" w:firstLine="0"/>
        <w:textAlignment w:val="auto"/>
        <w:rPr>
          <w:rFonts w:ascii="宋体" w:hAnsi="宋体" w:eastAsia="宋体"/>
          <w:color w:val="auto"/>
          <w:sz w:val="24"/>
          <w:szCs w:val="24"/>
        </w:rPr>
      </w:pPr>
      <w:r>
        <w:rPr>
          <w:rFonts w:hint="eastAsia" w:ascii="宋体" w:hAnsi="宋体" w:eastAsia="宋体"/>
          <w:color w:val="auto"/>
          <w:sz w:val="24"/>
          <w:szCs w:val="24"/>
        </w:rPr>
        <w:t xml:space="preserve">                             项目负责人签字:</w:t>
      </w:r>
    </w:p>
    <w:p>
      <w:pPr>
        <w:pStyle w:val="10"/>
        <w:keepNext w:val="0"/>
        <w:keepLines w:val="0"/>
        <w:pageBreakBefore w:val="0"/>
        <w:kinsoku/>
        <w:wordWrap/>
        <w:overflowPunct/>
        <w:topLinePunct w:val="0"/>
        <w:autoSpaceDE/>
        <w:autoSpaceDN/>
        <w:bidi w:val="0"/>
        <w:adjustRightInd/>
        <w:spacing w:line="360" w:lineRule="auto"/>
        <w:ind w:right="879" w:firstLine="2160" w:firstLineChars="900"/>
        <w:jc w:val="left"/>
        <w:textAlignment w:val="auto"/>
        <w:rPr>
          <w:rFonts w:ascii="宋体" w:hAnsi="宋体" w:eastAsia="宋体"/>
          <w:color w:val="auto"/>
          <w:sz w:val="24"/>
          <w:szCs w:val="24"/>
        </w:rPr>
      </w:pPr>
      <w:r>
        <w:rPr>
          <w:rFonts w:hint="eastAsia" w:ascii="宋体" w:hAnsi="宋体" w:eastAsia="宋体"/>
          <w:color w:val="auto"/>
          <w:sz w:val="24"/>
          <w:szCs w:val="24"/>
        </w:rPr>
        <w:t xml:space="preserve">           技术负责人签字：</w:t>
      </w:r>
    </w:p>
    <w:p>
      <w:pPr>
        <w:pStyle w:val="10"/>
        <w:keepNext w:val="0"/>
        <w:keepLines w:val="0"/>
        <w:pageBreakBefore w:val="0"/>
        <w:kinsoku/>
        <w:wordWrap/>
        <w:overflowPunct/>
        <w:topLinePunct w:val="0"/>
        <w:autoSpaceDE/>
        <w:autoSpaceDN/>
        <w:bidi w:val="0"/>
        <w:adjustRightInd/>
        <w:spacing w:line="360" w:lineRule="auto"/>
        <w:ind w:right="879" w:firstLine="2160" w:firstLineChars="900"/>
        <w:jc w:val="right"/>
        <w:textAlignment w:val="auto"/>
        <w:rPr>
          <w:rFonts w:ascii="宋体" w:hAnsi="宋体" w:eastAsia="宋体"/>
          <w:color w:val="auto"/>
          <w:sz w:val="24"/>
          <w:szCs w:val="24"/>
        </w:rPr>
      </w:pPr>
      <w:r>
        <w:rPr>
          <w:rFonts w:hint="eastAsia" w:ascii="宋体" w:hAnsi="宋体" w:eastAsia="宋体"/>
          <w:color w:val="auto"/>
          <w:sz w:val="24"/>
          <w:szCs w:val="24"/>
        </w:rPr>
        <w:t>年</w:t>
      </w:r>
      <w:r>
        <w:rPr>
          <w:rFonts w:ascii="宋体" w:hAnsi="宋体" w:eastAsia="宋体"/>
          <w:color w:val="auto"/>
          <w:sz w:val="24"/>
          <w:szCs w:val="24"/>
        </w:rPr>
        <w:t xml:space="preserve">   </w:t>
      </w:r>
      <w:r>
        <w:rPr>
          <w:rFonts w:hint="eastAsia" w:ascii="宋体" w:hAnsi="宋体" w:eastAsia="宋体"/>
          <w:color w:val="auto"/>
          <w:sz w:val="24"/>
          <w:szCs w:val="24"/>
        </w:rPr>
        <w:t>月</w:t>
      </w:r>
      <w:r>
        <w:rPr>
          <w:rFonts w:ascii="宋体" w:hAnsi="宋体" w:eastAsia="宋体"/>
          <w:color w:val="auto"/>
          <w:sz w:val="24"/>
          <w:szCs w:val="24"/>
        </w:rPr>
        <w:t xml:space="preserve">   </w:t>
      </w:r>
      <w:r>
        <w:rPr>
          <w:rFonts w:hint="eastAsia" w:ascii="宋体" w:hAnsi="宋体" w:eastAsia="宋体"/>
          <w:color w:val="auto"/>
          <w:sz w:val="24"/>
          <w:szCs w:val="24"/>
        </w:rPr>
        <w:t>日</w:t>
      </w:r>
    </w:p>
    <w:p>
      <w:pPr>
        <w:keepNext w:val="0"/>
        <w:keepLines w:val="0"/>
        <w:pageBreakBefore w:val="0"/>
        <w:kinsoku/>
        <w:wordWrap/>
        <w:overflowPunct/>
        <w:topLinePunct w:val="0"/>
        <w:autoSpaceDE/>
        <w:autoSpaceDN/>
        <w:bidi w:val="0"/>
        <w:adjustRightInd/>
        <w:spacing w:line="360" w:lineRule="auto"/>
        <w:textAlignment w:val="auto"/>
        <w:rPr>
          <w:rFonts w:ascii="宋体"/>
          <w:color w:val="auto"/>
          <w:sz w:val="24"/>
          <w:szCs w:val="24"/>
        </w:rPr>
      </w:pPr>
      <w:r>
        <w:rPr>
          <w:rFonts w:hint="eastAsia" w:ascii="宋体" w:hAnsi="宋体"/>
          <w:color w:val="auto"/>
          <w:sz w:val="24"/>
          <w:szCs w:val="24"/>
        </w:rPr>
        <w:t xml:space="preserve">                                                       </w:t>
      </w:r>
      <w:r>
        <w:rPr>
          <w:rFonts w:hint="eastAsia" w:ascii="宋体" w:hAnsi="宋体"/>
          <w:color w:val="auto"/>
          <w:kern w:val="0"/>
          <w:sz w:val="24"/>
          <w:szCs w:val="24"/>
        </w:rPr>
        <w:t>（企业公章）</w:t>
      </w: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r>
        <w:rPr>
          <w:rFonts w:hint="eastAsia" w:ascii="宋体" w:hAnsi="宋体"/>
          <w:color w:val="auto"/>
          <w:sz w:val="24"/>
          <w:szCs w:val="24"/>
        </w:rPr>
        <w:t>注：招标人应当要求投标人的法定代表人或授权代理人、项目负责人、技术负责人签字。</w:t>
      </w: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pStyle w:val="10"/>
        <w:keepNext w:val="0"/>
        <w:keepLines w:val="0"/>
        <w:pageBreakBefore w:val="0"/>
        <w:kinsoku/>
        <w:wordWrap/>
        <w:overflowPunct/>
        <w:topLinePunct w:val="0"/>
        <w:autoSpaceDE/>
        <w:autoSpaceDN/>
        <w:bidi w:val="0"/>
        <w:adjustRightInd/>
        <w:spacing w:line="360" w:lineRule="auto"/>
        <w:ind w:left="0" w:leftChars="0" w:firstLine="0" w:firstLineChars="0"/>
        <w:textAlignment w:val="auto"/>
        <w:rPr>
          <w:rFonts w:hint="eastAsia" w:ascii="宋体" w:hAnsi="宋体" w:eastAsia="宋体"/>
          <w:color w:val="auto"/>
          <w:sz w:val="24"/>
          <w:szCs w:val="24"/>
        </w:rPr>
      </w:pPr>
    </w:p>
    <w:p>
      <w:pPr>
        <w:widowControl/>
        <w:spacing w:line="240" w:lineRule="auto"/>
        <w:jc w:val="center"/>
        <w:rPr>
          <w:rFonts w:hint="eastAsia" w:ascii="Calibri" w:hAnsi="Calibri" w:eastAsia="宋体" w:cs="Times New Roman"/>
          <w:b/>
          <w:color w:val="auto"/>
          <w:kern w:val="0"/>
          <w:sz w:val="44"/>
          <w:szCs w:val="44"/>
          <w:highlight w:val="none"/>
          <w:u w:val="none"/>
        </w:rPr>
      </w:pPr>
      <w:r>
        <w:rPr>
          <w:rFonts w:hint="eastAsia" w:ascii="Calibri" w:hAnsi="Calibri" w:eastAsia="宋体" w:cs="Times New Roman"/>
          <w:b/>
          <w:color w:val="auto"/>
          <w:kern w:val="0"/>
          <w:sz w:val="44"/>
          <w:szCs w:val="44"/>
          <w:highlight w:val="none"/>
          <w:u w:val="none"/>
        </w:rPr>
        <w:t>投标人声明（二）</w:t>
      </w:r>
    </w:p>
    <w:p>
      <w:pPr>
        <w:widowControl/>
        <w:spacing w:line="380" w:lineRule="exact"/>
        <w:jc w:val="center"/>
        <w:rPr>
          <w:rFonts w:hint="eastAsia" w:ascii="宋体" w:hAnsi="宋体" w:eastAsia="宋体" w:cs="宋体"/>
          <w:color w:val="auto"/>
          <w:spacing w:val="15"/>
          <w:kern w:val="0"/>
          <w:sz w:val="21"/>
          <w:szCs w:val="21"/>
          <w:highlight w:val="none"/>
        </w:rPr>
      </w:pPr>
      <w:r>
        <w:rPr>
          <w:rFonts w:hint="eastAsia" w:ascii="宋体" w:hAnsi="宋体" w:eastAsia="宋体" w:cs="宋体"/>
          <w:bCs/>
          <w:color w:val="auto"/>
          <w:spacing w:val="15"/>
          <w:kern w:val="0"/>
          <w:sz w:val="21"/>
          <w:szCs w:val="21"/>
          <w:highlight w:val="none"/>
        </w:rPr>
        <w:t>关于投标过程不发生围标串标行为的声明</w:t>
      </w:r>
    </w:p>
    <w:p>
      <w:pPr>
        <w:widowControl/>
        <w:spacing w:line="380" w:lineRule="exact"/>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本招标项目招标人及招标监管机构：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本公司就参加位于增城区的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pacing w:val="15"/>
          <w:kern w:val="0"/>
          <w:sz w:val="21"/>
          <w:szCs w:val="21"/>
          <w:highlight w:val="none"/>
        </w:rPr>
        <w:t>的投标工作，作出郑重声明：</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本公司保证在投标过程中不出现以下情形：</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一、不同投标人的投标文件内容存在非正常一致的；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二、不同投标人的投标文件2处以上错漏一致的；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三、不同投标人的投标报价或者报价组成异常一致或者呈规律性变化的；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四、不同投标人的投标文件由同一企业或者同一人编制的；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五、不同投标人的投标文件载明的项目管理班子成员出现同一人的；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六、不同投标人的投标文件相互混装的；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七、不同投标人的投标文件由同一台电脑编制或者同一台附属设备打印的；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八、不同投标人委托同一人投标的；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九、不同投标人使用同一人或者企业资金交纳投标保证金或者投标保函的反担保的；</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十、不同投标人聘请同一人为其投标提供技术或者经济咨询服务的，但招标工程本身要求采用专用技术的除外；</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十一、评标委员会认定的其他串通投标情形。</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如果出现上述情形之一的，愿意接受评标委员会或建设行政主管部门作围标串标行为的认定，并自愿无条件接受招标人和建设行政主管部门的以下处理：</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1、取消投标、中标候选人资格、中标资格；</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2、由招标人没收投标保证金或合同履约保证金；</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3、两年内停止或永久禁止参与增城区财政资金建设工程的投标；</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4、两年内停止或永久禁止在增城区承接工程或者执业；</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5、对不良行为予以记录，并行公告；</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6、报增城区建设行政主管部门备案，并提请上级相关行政主管部门依法进行处罚；</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7、其他行政处理决定。</w:t>
      </w: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p>
    <w:p>
      <w:pPr>
        <w:widowControl/>
        <w:spacing w:line="380" w:lineRule="exact"/>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特此声明</w:t>
      </w:r>
    </w:p>
    <w:p>
      <w:pPr>
        <w:widowControl/>
        <w:spacing w:line="380" w:lineRule="exact"/>
        <w:ind w:firstLine="960" w:firstLineChars="400"/>
        <w:jc w:val="left"/>
        <w:rPr>
          <w:rFonts w:hint="eastAsia" w:ascii="宋体" w:hAnsi="宋体" w:eastAsia="宋体" w:cs="宋体"/>
          <w:color w:val="auto"/>
          <w:spacing w:val="15"/>
          <w:kern w:val="0"/>
          <w:sz w:val="21"/>
          <w:szCs w:val="21"/>
          <w:highlight w:val="none"/>
        </w:rPr>
      </w:pPr>
    </w:p>
    <w:p>
      <w:pPr>
        <w:widowControl/>
        <w:spacing w:line="380" w:lineRule="exact"/>
        <w:ind w:firstLine="960" w:firstLineChars="4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声明企业：                          年    月    日</w:t>
      </w:r>
    </w:p>
    <w:p>
      <w:pPr>
        <w:widowControl/>
        <w:spacing w:line="380" w:lineRule="exact"/>
        <w:ind w:firstLine="840" w:firstLineChars="400"/>
        <w:jc w:val="left"/>
        <w:rPr>
          <w:rFonts w:hint="eastAsia" w:ascii="宋体" w:hAnsi="宋体" w:eastAsia="宋体" w:cs="宋体"/>
          <w:color w:val="auto"/>
          <w:spacing w:val="15"/>
          <w:kern w:val="0"/>
          <w:sz w:val="21"/>
          <w:szCs w:val="21"/>
          <w:highlight w:val="none"/>
        </w:rPr>
      </w:pPr>
      <w:r>
        <w:rPr>
          <w:rFonts w:hint="eastAsia" w:ascii="宋体" w:hAnsi="宋体" w:cs="宋体"/>
          <w:color w:val="auto"/>
          <w:szCs w:val="21"/>
          <w:highlight w:val="none"/>
        </w:rPr>
        <w:t>法定代表人签字</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pacing w:val="15"/>
          <w:kern w:val="0"/>
          <w:sz w:val="21"/>
          <w:szCs w:val="21"/>
          <w:highlight w:val="none"/>
        </w:rPr>
        <w:t xml:space="preserve"> (企业公章)</w:t>
      </w:r>
    </w:p>
    <w:p>
      <w:pPr>
        <w:widowControl/>
        <w:spacing w:line="240" w:lineRule="auto"/>
        <w:jc w:val="center"/>
        <w:rPr>
          <w:rFonts w:hint="eastAsia" w:ascii="宋体" w:hAnsi="宋体" w:eastAsia="宋体" w:cs="宋体"/>
          <w:b/>
          <w:color w:val="auto"/>
          <w:sz w:val="36"/>
          <w:szCs w:val="36"/>
          <w:highlight w:val="none"/>
          <w:u w:val="single"/>
        </w:rPr>
      </w:pPr>
      <w:r>
        <w:rPr>
          <w:rFonts w:hint="eastAsia" w:ascii="宋体" w:hAnsi="宋体" w:eastAsia="宋体" w:cs="宋体"/>
          <w:bCs/>
          <w:color w:val="auto"/>
          <w:spacing w:val="15"/>
          <w:kern w:val="0"/>
          <w:sz w:val="21"/>
          <w:szCs w:val="21"/>
          <w:highlight w:val="none"/>
        </w:rPr>
        <w:br w:type="page"/>
      </w:r>
      <w:r>
        <w:rPr>
          <w:rFonts w:hint="eastAsia" w:ascii="Calibri" w:hAnsi="Calibri" w:eastAsia="宋体" w:cs="Times New Roman"/>
          <w:b/>
          <w:color w:val="auto"/>
          <w:kern w:val="0"/>
          <w:sz w:val="44"/>
          <w:szCs w:val="44"/>
          <w:highlight w:val="none"/>
          <w:u w:val="none"/>
        </w:rPr>
        <w:t>投标人声明（三）</w:t>
      </w:r>
    </w:p>
    <w:p>
      <w:pPr>
        <w:widowControl/>
        <w:spacing w:line="360" w:lineRule="auto"/>
        <w:jc w:val="center"/>
        <w:rPr>
          <w:rFonts w:hint="eastAsia" w:ascii="宋体" w:hAnsi="宋体" w:eastAsia="宋体" w:cs="宋体"/>
          <w:color w:val="auto"/>
          <w:spacing w:val="15"/>
          <w:kern w:val="0"/>
          <w:sz w:val="21"/>
          <w:szCs w:val="21"/>
          <w:highlight w:val="none"/>
        </w:rPr>
      </w:pPr>
      <w:r>
        <w:rPr>
          <w:rFonts w:hint="eastAsia" w:ascii="宋体" w:hAnsi="宋体" w:eastAsia="宋体" w:cs="宋体"/>
          <w:bCs/>
          <w:color w:val="auto"/>
          <w:spacing w:val="15"/>
          <w:kern w:val="0"/>
          <w:sz w:val="21"/>
          <w:szCs w:val="21"/>
          <w:highlight w:val="none"/>
        </w:rPr>
        <w:t>关于遵守招标文件和履行工程总承包合同的声明</w:t>
      </w:r>
    </w:p>
    <w:p>
      <w:pPr>
        <w:widowControl/>
        <w:spacing w:line="360" w:lineRule="auto"/>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本招标项目招标人及招标监管机构：</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本公司就参加位于增城区的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pacing w:val="15"/>
          <w:kern w:val="0"/>
          <w:sz w:val="21"/>
          <w:szCs w:val="21"/>
          <w:highlight w:val="none"/>
        </w:rPr>
        <w:t>的投标工作，作出郑重声明：</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一、若成为本工程的中标人，我公司将严格遵守招标文件和履行施工合同的下列要求：</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1、订立合同：在招标文件规定的限期内与招标人订立工程总承包合同。</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2、施工现场技术和管理人员：</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（1）投标承诺及派驻现场的项目管理架构中全部技术和管理人员均为我公司员工；</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（2）根据本工程建设的实际需要适当设置的项目管理架构，委派的技术和管理人员的数量、资质和实际工作能力均满足本工程建设实施要求；</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（3）在收到发包人进场通知的3天内，所有技术和管理人员全部到位，进入现场办公，不得兼职或者擅自离岗；</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4）若因技术或管理人员未按投标承诺的人员和时间到位、或人员的实际工作能力和工作表现达不到招标文件明确要求或投标文件的承诺、或工作态度存在严重不足，不适应现场工作需要，我公司愿按发包人要求撤换不合格人员，并保证后任人员的资质、资历、业绩及实际工作能力不低于前任人员的水平。</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3、工期：保证尽一切力量确保投标承诺的工期。本公司充分了解和预计在施工过程中，本项目可能会存在比正常项目更多的阻碍工期的情况出现，保证不因自身原因导致实际工期超过合同竣工时间。</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4、材料、设备：保证准备并供应充足的材料设备，按投标承诺的时间全部按时到位。不因任何材料、设备因素阻碍工期而影响投标承诺的竣工日期。</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5、质量、安全：保证实现本工程招标文件所确定的工程质量、安全目标计划，且按增城区有关文件及本工程招标文件文明施工管理方案中的要求进行文明施工管理。</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6、不发生出借资质、转包、违法分包行为。</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7、不拖欠或克扣劳务人员工资，不拖欠材料、设备价款、分包合同工程款（如有分包工程）。</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二、如不能履行上述承诺，本公司愿意承担由此带来的法律后果，并自愿无条件地接受招标人和建设行政主管部门的以下处理：</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1、取消中标资格或者解除合同；</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2、由招标人没收投标保证金或合同履约保证金；</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3、两年内停止或永久禁止参与增城区财政资金建设工程的投标；</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4、两年内停止或永久禁止在增城区承接工程或者执业；</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5、对不良行为予以记录，并进行公告；</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6、报增城区建设行政主管部门备案，并提请上级相关行政主管部门依法进行处罚；</w:t>
      </w:r>
    </w:p>
    <w:p>
      <w:pPr>
        <w:widowControl/>
        <w:spacing w:line="360" w:lineRule="auto"/>
        <w:ind w:firstLine="480" w:firstLineChars="20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7、其他行政处理决定。</w:t>
      </w:r>
    </w:p>
    <w:p>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特此声明</w:t>
      </w:r>
    </w:p>
    <w:p>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p>
    <w:p>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p>
    <w:p>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p>
    <w:p>
      <w:pPr>
        <w:widowControl/>
        <w:spacing w:line="360" w:lineRule="auto"/>
        <w:ind w:firstLine="600" w:firstLineChars="250"/>
        <w:jc w:val="left"/>
        <w:rPr>
          <w:rFonts w:hint="eastAsia" w:ascii="宋体" w:hAnsi="宋体" w:eastAsia="宋体" w:cs="宋体"/>
          <w:color w:val="auto"/>
          <w:spacing w:val="15"/>
          <w:kern w:val="0"/>
          <w:sz w:val="21"/>
          <w:szCs w:val="21"/>
          <w:highlight w:val="none"/>
        </w:rPr>
      </w:pPr>
      <w:r>
        <w:rPr>
          <w:rFonts w:hint="eastAsia" w:ascii="宋体" w:hAnsi="宋体" w:eastAsia="宋体" w:cs="宋体"/>
          <w:color w:val="auto"/>
          <w:spacing w:val="15"/>
          <w:kern w:val="0"/>
          <w:sz w:val="21"/>
          <w:szCs w:val="21"/>
          <w:highlight w:val="none"/>
        </w:rPr>
        <w:t>声明企业：                               年    月  日</w:t>
      </w:r>
    </w:p>
    <w:p>
      <w:pPr>
        <w:widowControl/>
        <w:spacing w:line="380" w:lineRule="exact"/>
        <w:ind w:firstLine="630" w:firstLineChars="300"/>
        <w:jc w:val="left"/>
        <w:rPr>
          <w:rFonts w:hint="eastAsia" w:ascii="宋体" w:hAnsi="宋体" w:eastAsia="宋体" w:cs="宋体"/>
          <w:color w:val="auto"/>
          <w:spacing w:val="15"/>
          <w:kern w:val="0"/>
          <w:sz w:val="21"/>
          <w:szCs w:val="21"/>
          <w:highlight w:val="none"/>
        </w:rPr>
      </w:pPr>
      <w:r>
        <w:rPr>
          <w:rFonts w:hint="eastAsia" w:ascii="宋体" w:hAnsi="宋体" w:cs="宋体"/>
          <w:color w:val="auto"/>
          <w:szCs w:val="21"/>
          <w:highlight w:val="none"/>
        </w:rPr>
        <w:t>法定代表人签字</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pacing w:val="15"/>
          <w:kern w:val="0"/>
          <w:sz w:val="21"/>
          <w:szCs w:val="21"/>
          <w:highlight w:val="none"/>
        </w:rPr>
        <w:t xml:space="preserve"> (企业公章)</w:t>
      </w:r>
    </w:p>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listo MT">
    <w:panose1 w:val="02040603050505030304"/>
    <w:charset w:val="00"/>
    <w:family w:val="roman"/>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jc w:val="center"/>
                            <w:rPr>
                              <w:rStyle w:val="8"/>
                            </w:rPr>
                          </w:pPr>
                          <w:r>
                            <w:rPr>
                              <w:rStyle w:val="8"/>
                            </w:rPr>
                            <w:fldChar w:fldCharType="begin"/>
                          </w:r>
                          <w:r>
                            <w:rPr>
                              <w:rStyle w:val="8"/>
                            </w:rPr>
                            <w:instrText xml:space="preserve">PAGE  </w:instrText>
                          </w:r>
                          <w:r>
                            <w:rPr>
                              <w:rStyle w:val="8"/>
                            </w:rPr>
                            <w:fldChar w:fldCharType="separate"/>
                          </w:r>
                          <w:r>
                            <w:rPr>
                              <w:rStyle w:val="8"/>
                            </w:rPr>
                            <w:t>74</w:t>
                          </w:r>
                          <w:r>
                            <w:rPr>
                              <w:rStyle w:val="8"/>
                            </w:rPr>
                            <w:fldChar w:fldCharType="end"/>
                          </w:r>
                        </w:p>
                        <w:p>
                          <w:pPr>
                            <w:pStyle w:val="4"/>
                            <w:ind w:left="-4410" w:leftChars="-2100" w:right="-4439" w:rightChars="-2114"/>
                            <w:rPr>
                              <w:rStyle w:val="8"/>
                            </w:rPr>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bVggbAgAAIQQAAA4AAABkcnMvZTJvRG9jLnhtbK1TzW4TMRC+I/EO&#10;lu9kN6FUUZRNFVoFIUW0UkCcHa+dtWR7LNvJbngAeANOXLjzXHkOxt5silpOiIs99vx/8838pjOa&#10;HIQPCmxFx6OSEmE51MruKvrp4+rVlJIQma2ZBisqehSB3ixevpi3biYm0ICuhScYxIZZ6yraxOhm&#10;RRF4IwwLI3DColKCNyzi0++K2rMWoxtdTMryumjB184DFyHg712vpIscX0rB472UQUSiK4q1xXz6&#10;fG7TWSzmbLbzzDWKn8tg/1CFYcpi0kuoOxYZ2Xv1LJRR3EMAGUccTAFSKi5yD9jNuHzSzaZhTuRe&#10;EJzgLjCF/xeWfzg8eKLqil5RYpnBEZ2+fzv9+HX6+ZVcJXhaF2ZotXFoF7u30OGYh/+An6nrTnqT&#10;buyHoB6BPl7AFV0kPDlNJ9NpiSqOuuGB8YtHd+dDfCfAkCRU1OP0MqjssA6xNx1MUjYLK6V1nqC2&#10;pK3o9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4bVggbAgAAIQQAAA4A&#10;AAAAAAAAAQAgAAAAHwEAAGRycy9lMm9Eb2MueG1sUEsFBgAAAAAGAAYAWQEAAKwFAAAAAA==&#10;">
              <v:fill on="f" focussize="0,0"/>
              <v:stroke on="f" weight="0.5pt"/>
              <v:imagedata o:title=""/>
              <o:lock v:ext="edit" aspectratio="f"/>
              <v:textbox inset="0mm,0mm,0mm,0mm" style="mso-fit-shape-to-text:t;">
                <w:txbxContent>
                  <w:p>
                    <w:pPr>
                      <w:pStyle w:val="4"/>
                      <w:jc w:val="center"/>
                      <w:rPr>
                        <w:rStyle w:val="8"/>
                      </w:rPr>
                    </w:pPr>
                    <w:r>
                      <w:rPr>
                        <w:rStyle w:val="8"/>
                      </w:rPr>
                      <w:fldChar w:fldCharType="begin"/>
                    </w:r>
                    <w:r>
                      <w:rPr>
                        <w:rStyle w:val="8"/>
                      </w:rPr>
                      <w:instrText xml:space="preserve">PAGE  </w:instrText>
                    </w:r>
                    <w:r>
                      <w:rPr>
                        <w:rStyle w:val="8"/>
                      </w:rPr>
                      <w:fldChar w:fldCharType="separate"/>
                    </w:r>
                    <w:r>
                      <w:rPr>
                        <w:rStyle w:val="8"/>
                      </w:rPr>
                      <w:t>74</w:t>
                    </w:r>
                    <w:r>
                      <w:rPr>
                        <w:rStyle w:val="8"/>
                      </w:rPr>
                      <w:fldChar w:fldCharType="end"/>
                    </w:r>
                  </w:p>
                  <w:p>
                    <w:pPr>
                      <w:pStyle w:val="4"/>
                      <w:ind w:left="-4410" w:leftChars="-2100" w:right="-4439" w:rightChars="-2114"/>
                      <w:rPr>
                        <w:rStyle w:val="8"/>
                      </w:rPr>
                    </w:pPr>
                  </w:p>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9C3F6C"/>
    <w:rsid w:val="30AF7F4C"/>
    <w:rsid w:val="5FEF75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next w:val="1"/>
    <w:qFormat/>
    <w:uiPriority w:val="0"/>
    <w:pPr>
      <w:ind w:firstLine="420"/>
    </w:pPr>
    <w:rPr>
      <w:rFonts w:ascii="Times New Roman" w:hAnsi="Times New Roman"/>
      <w:szCs w:val="20"/>
    </w:rPr>
  </w:style>
  <w:style w:type="paragraph" w:styleId="3">
    <w:name w:val="Plain Text"/>
    <w:basedOn w:val="1"/>
    <w:next w:val="1"/>
    <w:qFormat/>
    <w:uiPriority w:val="0"/>
    <w:rPr>
      <w:rFonts w:ascii="宋体" w:hAnsi="Courier New"/>
      <w:szCs w:val="20"/>
    </w:rPr>
  </w:style>
  <w:style w:type="paragraph" w:styleId="4">
    <w:name w:val="footer"/>
    <w:basedOn w:val="1"/>
    <w:unhideWhenUsed/>
    <w:qFormat/>
    <w:uiPriority w:val="0"/>
    <w:pPr>
      <w:tabs>
        <w:tab w:val="center" w:pos="4153"/>
        <w:tab w:val="right" w:pos="8306"/>
      </w:tabs>
      <w:snapToGrid w:val="0"/>
      <w:jc w:val="left"/>
    </w:pPr>
    <w:rPr>
      <w:sz w:val="18"/>
      <w:szCs w:val="18"/>
    </w:rPr>
  </w:style>
  <w:style w:type="paragraph" w:styleId="5">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qFormat/>
    <w:uiPriority w:val="0"/>
    <w:rPr>
      <w:rFonts w:cs="Times New Roman"/>
    </w:rPr>
  </w:style>
  <w:style w:type="character" w:styleId="9">
    <w:name w:val="annotation reference"/>
    <w:qFormat/>
    <w:uiPriority w:val="0"/>
    <w:rPr>
      <w:sz w:val="21"/>
      <w:szCs w:val="21"/>
    </w:rPr>
  </w:style>
  <w:style w:type="paragraph" w:customStyle="1" w:styleId="10">
    <w:name w:val="公文正文"/>
    <w:qFormat/>
    <w:uiPriority w:val="0"/>
    <w:pPr>
      <w:widowControl w:val="0"/>
      <w:spacing w:line="360" w:lineRule="auto"/>
      <w:ind w:firstLine="629"/>
      <w:jc w:val="both"/>
    </w:pPr>
    <w:rPr>
      <w:rFonts w:ascii="仿宋_GB2312" w:hAnsi="Calisto MT" w:eastAsia="仿宋_GB2312" w:cs="Times New Roman"/>
      <w:color w:val="000000"/>
      <w:sz w:val="32"/>
      <w:lang w:val="en-US" w:eastAsia="zh-CN" w:bidi="ar-SA"/>
    </w:rPr>
  </w:style>
  <w:style w:type="paragraph" w:customStyle="1" w:styleId="11">
    <w:name w:val="发文落款"/>
    <w:basedOn w:val="10"/>
    <w:qFormat/>
    <w:uiPriority w:val="0"/>
    <w:pPr>
      <w:ind w:left="4094" w:right="607" w:firstLine="0"/>
      <w:jc w:val="center"/>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2022-01-29T00:54:00Z</dcterms:created>
  <dc:creator>Tong</dc:creator>
  <cp:lastModifiedBy>通</cp:lastModifiedBy>
  <dcterms:modified xsi:type="dcterms:W3CDTF">2025-11-04T06:40:43Z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ies>
</file>