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方正小标宋简体" w:hAnsi="方正小标宋简体" w:eastAsia="方正小标宋简体" w:cs="方正小标宋简体"/>
          <w:bCs/>
          <w:snapToGrid/>
          <w:color w:val="auto"/>
          <w:kern w:val="2"/>
          <w:sz w:val="72"/>
          <w:szCs w:val="72"/>
          <w:highlight w:val="none"/>
          <w:lang w:eastAsia="zh-CN"/>
        </w:rPr>
      </w:pPr>
      <w:bookmarkStart w:id="347" w:name="_GoBack"/>
      <w:bookmarkEnd w:id="347"/>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bCs/>
          <w:snapToGrid/>
          <w:color w:val="auto"/>
          <w:kern w:val="2"/>
          <w:sz w:val="72"/>
          <w:szCs w:val="72"/>
          <w:highlight w:val="none"/>
        </w:rPr>
      </w:pPr>
      <w:r>
        <w:rPr>
          <w:rFonts w:hint="eastAsia" w:ascii="方正小标宋简体" w:hAnsi="方正小标宋简体" w:eastAsia="方正小标宋简体" w:cs="方正小标宋简体"/>
          <w:bCs/>
          <w:snapToGrid/>
          <w:color w:val="auto"/>
          <w:kern w:val="2"/>
          <w:sz w:val="72"/>
          <w:szCs w:val="72"/>
          <w:highlight w:val="none"/>
          <w:lang w:eastAsia="zh-CN"/>
        </w:rPr>
        <w:t>广州市增城区</w:t>
      </w:r>
      <w:r>
        <w:rPr>
          <w:rFonts w:hint="eastAsia" w:ascii="方正小标宋简体" w:hAnsi="方正小标宋简体" w:eastAsia="方正小标宋简体" w:cs="方正小标宋简体"/>
          <w:bCs/>
          <w:snapToGrid/>
          <w:color w:val="auto"/>
          <w:kern w:val="2"/>
          <w:sz w:val="72"/>
          <w:szCs w:val="72"/>
          <w:highlight w:val="none"/>
        </w:rPr>
        <w:t>森林火灾</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黑体" w:hAnsi="宋体" w:eastAsia="方正小标宋简体"/>
          <w:bCs/>
          <w:snapToGrid/>
          <w:color w:val="auto"/>
          <w:kern w:val="2"/>
          <w:sz w:val="44"/>
          <w:szCs w:val="44"/>
          <w:highlight w:val="none"/>
          <w:lang w:eastAsia="zh-CN"/>
        </w:rPr>
      </w:pPr>
      <w:r>
        <w:rPr>
          <w:rFonts w:hint="eastAsia" w:ascii="方正小标宋简体" w:hAnsi="方正小标宋简体" w:eastAsia="方正小标宋简体" w:cs="方正小标宋简体"/>
          <w:bCs/>
          <w:snapToGrid/>
          <w:color w:val="auto"/>
          <w:kern w:val="2"/>
          <w:sz w:val="72"/>
          <w:szCs w:val="72"/>
          <w:highlight w:val="none"/>
        </w:rPr>
        <w:t>应急预案</w:t>
      </w:r>
      <w:r>
        <w:rPr>
          <w:rFonts w:hint="eastAsia" w:ascii="方正小标宋简体" w:hAnsi="方正小标宋简体" w:eastAsia="方正小标宋简体" w:cs="方正小标宋简体"/>
          <w:bCs/>
          <w:snapToGrid/>
          <w:color w:val="auto"/>
          <w:kern w:val="2"/>
          <w:sz w:val="72"/>
          <w:szCs w:val="72"/>
          <w:highlight w:val="none"/>
          <w:lang w:eastAsia="zh-CN"/>
        </w:rPr>
        <w:t>（修订）</w:t>
      </w:r>
    </w:p>
    <w:p>
      <w:pPr>
        <w:jc w:val="center"/>
        <w:rPr>
          <w:rFonts w:ascii="黑体" w:hAnsi="宋体" w:eastAsia="黑体"/>
          <w:bCs/>
          <w:snapToGrid/>
          <w:color w:val="auto"/>
          <w:kern w:val="2"/>
          <w:sz w:val="44"/>
          <w:szCs w:val="44"/>
          <w:highlight w:val="none"/>
        </w:rPr>
      </w:pPr>
    </w:p>
    <w:p>
      <w:pPr>
        <w:jc w:val="center"/>
        <w:rPr>
          <w:rFonts w:ascii="黑体" w:hAnsi="宋体" w:eastAsia="黑体"/>
          <w:bCs/>
          <w:snapToGrid/>
          <w:color w:val="auto"/>
          <w:kern w:val="2"/>
          <w:sz w:val="44"/>
          <w:szCs w:val="44"/>
          <w:highlight w:val="none"/>
        </w:rPr>
      </w:pPr>
    </w:p>
    <w:p>
      <w:pPr>
        <w:jc w:val="center"/>
        <w:rPr>
          <w:rFonts w:ascii="黑体" w:hAnsi="宋体" w:eastAsia="黑体"/>
          <w:bCs/>
          <w:snapToGrid/>
          <w:color w:val="auto"/>
          <w:kern w:val="2"/>
          <w:sz w:val="44"/>
          <w:szCs w:val="44"/>
          <w:highlight w:val="none"/>
        </w:rPr>
      </w:pPr>
    </w:p>
    <w:p>
      <w:pPr>
        <w:jc w:val="center"/>
        <w:rPr>
          <w:rFonts w:ascii="黑体" w:hAnsi="宋体" w:eastAsia="黑体"/>
          <w:bCs/>
          <w:snapToGrid/>
          <w:color w:val="auto"/>
          <w:kern w:val="2"/>
          <w:sz w:val="44"/>
          <w:szCs w:val="44"/>
          <w:highlight w:val="none"/>
        </w:rPr>
      </w:pPr>
    </w:p>
    <w:p>
      <w:pPr>
        <w:jc w:val="center"/>
        <w:rPr>
          <w:rFonts w:ascii="黑体" w:hAnsi="宋体" w:eastAsia="黑体"/>
          <w:bCs/>
          <w:snapToGrid/>
          <w:color w:val="auto"/>
          <w:kern w:val="2"/>
          <w:sz w:val="44"/>
          <w:szCs w:val="44"/>
          <w:highlight w:val="none"/>
        </w:rPr>
      </w:pPr>
    </w:p>
    <w:p>
      <w:pPr>
        <w:jc w:val="center"/>
        <w:rPr>
          <w:rFonts w:ascii="黑体" w:hAnsi="宋体" w:eastAsia="黑体"/>
          <w:bCs/>
          <w:snapToGrid/>
          <w:color w:val="auto"/>
          <w:kern w:val="2"/>
          <w:sz w:val="44"/>
          <w:szCs w:val="44"/>
          <w:highlight w:val="none"/>
        </w:rPr>
      </w:pPr>
    </w:p>
    <w:p>
      <w:pPr>
        <w:pStyle w:val="2"/>
        <w:rPr>
          <w:rFonts w:ascii="黑体" w:hAnsi="宋体" w:eastAsia="黑体"/>
          <w:bCs/>
          <w:snapToGrid/>
          <w:color w:val="auto"/>
          <w:kern w:val="2"/>
          <w:sz w:val="44"/>
          <w:szCs w:val="44"/>
          <w:highlight w:val="none"/>
        </w:rPr>
      </w:pPr>
    </w:p>
    <w:p>
      <w:pPr>
        <w:rPr>
          <w:rFonts w:ascii="黑体" w:hAnsi="宋体" w:eastAsia="黑体"/>
          <w:bCs/>
          <w:snapToGrid/>
          <w:color w:val="auto"/>
          <w:kern w:val="2"/>
          <w:sz w:val="44"/>
          <w:szCs w:val="44"/>
          <w:highlight w:val="none"/>
        </w:rPr>
      </w:pPr>
    </w:p>
    <w:p>
      <w:pPr>
        <w:pStyle w:val="2"/>
        <w:rPr>
          <w:rFonts w:ascii="黑体" w:hAnsi="宋体" w:eastAsia="黑体"/>
          <w:bCs/>
          <w:snapToGrid/>
          <w:color w:val="auto"/>
          <w:kern w:val="2"/>
          <w:sz w:val="44"/>
          <w:szCs w:val="44"/>
          <w:highlight w:val="none"/>
        </w:rPr>
      </w:pPr>
    </w:p>
    <w:p>
      <w:pPr>
        <w:rPr>
          <w:rFonts w:ascii="黑体" w:hAnsi="宋体" w:eastAsia="黑体"/>
          <w:bCs/>
          <w:snapToGrid/>
          <w:color w:val="auto"/>
          <w:kern w:val="2"/>
          <w:sz w:val="44"/>
          <w:szCs w:val="44"/>
          <w:highlight w:val="none"/>
        </w:rPr>
      </w:pPr>
    </w:p>
    <w:p>
      <w:pPr>
        <w:pStyle w:val="2"/>
        <w:rPr>
          <w:rFonts w:ascii="黑体" w:hAnsi="宋体" w:eastAsia="黑体"/>
          <w:bCs/>
          <w:snapToGrid/>
          <w:color w:val="auto"/>
          <w:kern w:val="2"/>
          <w:sz w:val="44"/>
          <w:szCs w:val="44"/>
          <w:highlight w:val="none"/>
        </w:rPr>
      </w:pPr>
    </w:p>
    <w:p>
      <w:pPr>
        <w:rPr>
          <w:snapToGrid/>
          <w:kern w:val="2"/>
        </w:rPr>
      </w:pPr>
    </w:p>
    <w:p>
      <w:pPr>
        <w:spacing w:line="440" w:lineRule="exact"/>
        <w:jc w:val="center"/>
        <w:rPr>
          <w:rFonts w:ascii="黑体" w:hAnsi="宋体" w:eastAsia="黑体"/>
          <w:bCs/>
          <w:snapToGrid/>
          <w:color w:val="auto"/>
          <w:kern w:val="2"/>
          <w:sz w:val="44"/>
          <w:szCs w:val="44"/>
          <w:highlight w:val="none"/>
        </w:rPr>
      </w:pPr>
      <w:r>
        <w:rPr>
          <w:rFonts w:hint="eastAsia" w:ascii="黑体" w:hAnsi="宋体" w:eastAsia="黑体"/>
          <w:bCs/>
          <w:snapToGrid/>
          <w:color w:val="auto"/>
          <w:kern w:val="2"/>
          <w:sz w:val="44"/>
          <w:szCs w:val="44"/>
          <w:highlight w:val="none"/>
        </w:rPr>
        <w:t>广州市</w:t>
      </w:r>
      <w:r>
        <w:rPr>
          <w:rFonts w:hint="eastAsia" w:ascii="黑体" w:hAnsi="宋体" w:eastAsia="黑体"/>
          <w:bCs/>
          <w:snapToGrid/>
          <w:color w:val="auto"/>
          <w:kern w:val="2"/>
          <w:sz w:val="44"/>
          <w:szCs w:val="44"/>
          <w:highlight w:val="none"/>
          <w:lang w:eastAsia="zh-CN"/>
        </w:rPr>
        <w:t>增城区</w:t>
      </w:r>
      <w:r>
        <w:rPr>
          <w:rFonts w:hint="eastAsia" w:ascii="黑体" w:hAnsi="宋体" w:eastAsia="黑体"/>
          <w:bCs/>
          <w:snapToGrid/>
          <w:color w:val="auto"/>
          <w:kern w:val="2"/>
          <w:sz w:val="44"/>
          <w:szCs w:val="44"/>
          <w:highlight w:val="none"/>
        </w:rPr>
        <w:t>森林防灭火指挥部</w:t>
      </w:r>
    </w:p>
    <w:p>
      <w:pPr>
        <w:spacing w:line="440" w:lineRule="exact"/>
        <w:jc w:val="center"/>
        <w:rPr>
          <w:rFonts w:ascii="仿宋_GB2312" w:hAnsi="宋体" w:eastAsia="仿宋_GB2312"/>
          <w:bCs/>
          <w:snapToGrid/>
          <w:color w:val="auto"/>
          <w:kern w:val="2"/>
          <w:sz w:val="30"/>
          <w:szCs w:val="30"/>
          <w:highlight w:val="none"/>
        </w:rPr>
      </w:pPr>
    </w:p>
    <w:p>
      <w:pPr>
        <w:jc w:val="center"/>
        <w:rPr>
          <w:rFonts w:ascii="黑体" w:hAnsi="宋体" w:eastAsia="黑体"/>
          <w:bCs/>
          <w:snapToGrid/>
          <w:color w:val="auto"/>
          <w:kern w:val="2"/>
          <w:sz w:val="44"/>
          <w:szCs w:val="44"/>
          <w:highlight w:val="none"/>
        </w:rPr>
      </w:pPr>
      <w:r>
        <w:rPr>
          <w:rFonts w:ascii="Times New Roman" w:hAnsi="Times New Roman" w:eastAsia="黑体"/>
          <w:bCs/>
          <w:snapToGrid/>
          <w:color w:val="auto"/>
          <w:kern w:val="2"/>
          <w:sz w:val="44"/>
          <w:szCs w:val="44"/>
          <w:highlight w:val="none"/>
        </w:rPr>
        <w:t>202</w:t>
      </w:r>
      <w:r>
        <w:rPr>
          <w:rFonts w:hint="eastAsia" w:ascii="Times New Roman" w:hAnsi="Times New Roman" w:eastAsia="黑体"/>
          <w:bCs/>
          <w:snapToGrid/>
          <w:color w:val="auto"/>
          <w:kern w:val="2"/>
          <w:sz w:val="44"/>
          <w:szCs w:val="44"/>
          <w:highlight w:val="none"/>
          <w:lang w:val="en-US" w:eastAsia="zh-CN"/>
        </w:rPr>
        <w:t>5</w:t>
      </w:r>
      <w:r>
        <w:rPr>
          <w:rFonts w:ascii="黑体" w:hAnsi="宋体" w:eastAsia="黑体"/>
          <w:bCs/>
          <w:snapToGrid/>
          <w:color w:val="auto"/>
          <w:kern w:val="2"/>
          <w:sz w:val="44"/>
          <w:szCs w:val="44"/>
          <w:highlight w:val="none"/>
        </w:rPr>
        <w:t>年</w:t>
      </w:r>
      <w:r>
        <w:rPr>
          <w:rFonts w:hint="eastAsia" w:ascii="Times New Roman" w:hAnsi="Times New Roman" w:eastAsia="黑体"/>
          <w:bCs/>
          <w:snapToGrid/>
          <w:color w:val="auto"/>
          <w:kern w:val="2"/>
          <w:sz w:val="44"/>
          <w:szCs w:val="44"/>
          <w:highlight w:val="none"/>
          <w:lang w:val="en-US" w:eastAsia="zh-CN"/>
        </w:rPr>
        <w:t>1</w:t>
      </w:r>
      <w:r>
        <w:rPr>
          <w:rFonts w:hint="eastAsia" w:eastAsia="黑体"/>
          <w:bCs/>
          <w:snapToGrid/>
          <w:color w:val="auto"/>
          <w:kern w:val="2"/>
          <w:sz w:val="44"/>
          <w:szCs w:val="44"/>
          <w:highlight w:val="none"/>
          <w:lang w:val="en-US" w:eastAsia="zh-CN"/>
        </w:rPr>
        <w:t>2</w:t>
      </w:r>
      <w:r>
        <w:rPr>
          <w:rFonts w:ascii="黑体" w:hAnsi="宋体" w:eastAsia="黑体"/>
          <w:bCs/>
          <w:snapToGrid/>
          <w:color w:val="auto"/>
          <w:kern w:val="2"/>
          <w:sz w:val="44"/>
          <w:szCs w:val="44"/>
          <w:highlight w:val="none"/>
        </w:rPr>
        <w:t>月</w:t>
      </w:r>
    </w:p>
    <w:p>
      <w:pPr>
        <w:pStyle w:val="2"/>
        <w:rPr>
          <w:rFonts w:ascii="黑体" w:hAnsi="宋体" w:eastAsia="黑体"/>
          <w:bCs/>
          <w:snapToGrid/>
          <w:color w:val="auto"/>
          <w:kern w:val="2"/>
          <w:sz w:val="44"/>
          <w:szCs w:val="44"/>
          <w:highlight w:val="none"/>
        </w:rPr>
      </w:pPr>
    </w:p>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黑体" w:eastAsia="黑体"/>
          <w:snapToGrid/>
          <w:color w:val="auto"/>
          <w:kern w:val="2"/>
          <w:sz w:val="44"/>
          <w:szCs w:val="44"/>
          <w:highlight w:val="none"/>
        </w:rPr>
      </w:pPr>
      <w:r>
        <w:rPr>
          <w:rFonts w:hint="eastAsia" w:ascii="黑体" w:eastAsia="黑体"/>
          <w:snapToGrid/>
          <w:color w:val="auto"/>
          <w:kern w:val="2"/>
          <w:sz w:val="44"/>
          <w:szCs w:val="44"/>
          <w:highlight w:val="none"/>
        </w:rPr>
        <w:t>目    录</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rPr>
      </w:pP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bookmarkStart w:id="0" w:name="_Toc262556041"/>
      <w:bookmarkStart w:id="1" w:name="_Toc262554725"/>
      <w:bookmarkStart w:id="2" w:name="_Toc262555293"/>
      <w:r>
        <w:rPr>
          <w:rFonts w:ascii="黑体" w:hAnsi="宋体" w:eastAsia="黑体"/>
          <w:bCs/>
          <w:snapToGrid/>
          <w:color w:val="auto"/>
          <w:kern w:val="2"/>
          <w:szCs w:val="36"/>
          <w:highlight w:val="none"/>
        </w:rPr>
        <w:fldChar w:fldCharType="begin"/>
      </w:r>
      <w:r>
        <w:rPr>
          <w:rFonts w:ascii="黑体" w:hAnsi="宋体" w:eastAsia="黑体"/>
          <w:bCs/>
          <w:snapToGrid/>
          <w:color w:val="auto"/>
          <w:kern w:val="2"/>
          <w:szCs w:val="36"/>
          <w:highlight w:val="none"/>
        </w:rPr>
        <w:instrText xml:space="preserve">TOC \o "1-3" \h \u </w:instrText>
      </w:r>
      <w:r>
        <w:rPr>
          <w:rFonts w:ascii="黑体" w:hAnsi="宋体" w:eastAsia="黑体"/>
          <w:bCs/>
          <w:snapToGrid/>
          <w:color w:val="auto"/>
          <w:kern w:val="2"/>
          <w:szCs w:val="36"/>
          <w:highlight w:val="none"/>
        </w:rPr>
        <w:fldChar w:fldCharType="separate"/>
      </w: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_Toc21526 </w:instrText>
      </w:r>
      <w:r>
        <w:rPr>
          <w:rFonts w:ascii="黑体" w:hAnsi="宋体" w:eastAsia="黑体"/>
          <w:bCs/>
          <w:snapToGrid/>
          <w:kern w:val="2"/>
          <w:szCs w:val="36"/>
          <w:highlight w:val="none"/>
        </w:rPr>
        <w:fldChar w:fldCharType="separate"/>
      </w:r>
      <w:r>
        <w:rPr>
          <w:rFonts w:hint="eastAsia" w:ascii="Times New Roman" w:hAnsi="Times New Roman" w:eastAsia="黑体" w:cs="黑体"/>
          <w:bCs/>
          <w:snapToGrid/>
          <w:kern w:val="2"/>
          <w:highlight w:val="none"/>
        </w:rPr>
        <w:t>1</w:t>
      </w:r>
      <w:r>
        <w:rPr>
          <w:rFonts w:hint="eastAsia" w:ascii="黑体" w:hAnsi="黑体" w:eastAsia="黑体" w:cs="黑体"/>
          <w:bCs/>
          <w:snapToGrid/>
          <w:kern w:val="2"/>
          <w:highlight w:val="none"/>
        </w:rPr>
        <w:t>.总则</w:t>
      </w:r>
      <w:r>
        <w:tab/>
      </w:r>
      <w:r>
        <w:fldChar w:fldCharType="begin"/>
      </w:r>
      <w:r>
        <w:instrText xml:space="preserve"> PAGEREF _Toc21526 \h </w:instrText>
      </w:r>
      <w:r>
        <w:fldChar w:fldCharType="separate"/>
      </w:r>
      <w:r>
        <w:t>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_Toc973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编制目的</w:t>
      </w:r>
      <w:r>
        <w:tab/>
      </w:r>
      <w:r>
        <w:fldChar w:fldCharType="begin"/>
      </w:r>
      <w:r>
        <w:instrText xml:space="preserve"> PAGEREF _Toc973 \h </w:instrText>
      </w:r>
      <w:r>
        <w:fldChar w:fldCharType="separate"/>
      </w:r>
      <w:r>
        <w:t>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_Toc22566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编制依据</w:t>
      </w:r>
      <w:r>
        <w:tab/>
      </w:r>
      <w:r>
        <w:fldChar w:fldCharType="begin"/>
      </w:r>
      <w:r>
        <w:instrText xml:space="preserve"> PAGEREF _Toc22566 \h </w:instrText>
      </w:r>
      <w:r>
        <w:fldChar w:fldCharType="separate"/>
      </w:r>
      <w:r>
        <w:t>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_Toc18445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rPr>
        <w:t>适用范围</w:t>
      </w:r>
      <w:r>
        <w:tab/>
      </w:r>
      <w:r>
        <w:fldChar w:fldCharType="begin"/>
      </w:r>
      <w:r>
        <w:instrText xml:space="preserve"> PAGEREF _Toc18445 \h </w:instrText>
      </w:r>
      <w:r>
        <w:fldChar w:fldCharType="separate"/>
      </w:r>
      <w:r>
        <w:t>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_Toc11057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4</w:t>
      </w:r>
      <w:r>
        <w:rPr>
          <w:rFonts w:hint="eastAsia" w:ascii="楷体_GB2312" w:hAnsi="楷体_GB2312" w:eastAsia="楷体_GB2312" w:cs="楷体_GB2312"/>
          <w:snapToGrid/>
          <w:kern w:val="2"/>
          <w:highlight w:val="none"/>
        </w:rPr>
        <w:t>工作原则</w:t>
      </w:r>
      <w:r>
        <w:tab/>
      </w:r>
      <w:r>
        <w:fldChar w:fldCharType="begin"/>
      </w:r>
      <w:r>
        <w:instrText xml:space="preserve"> PAGEREF _Toc11057 \h </w:instrText>
      </w:r>
      <w:r>
        <w:fldChar w:fldCharType="separate"/>
      </w:r>
      <w:r>
        <w:t>8</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_Toc15404 </w:instrText>
      </w:r>
      <w:r>
        <w:rPr>
          <w:rFonts w:ascii="黑体" w:hAnsi="宋体" w:eastAsia="黑体"/>
          <w:bCs/>
          <w:snapToGrid/>
          <w:kern w:val="2"/>
          <w:szCs w:val="36"/>
          <w:highlight w:val="none"/>
        </w:rPr>
        <w:fldChar w:fldCharType="separate"/>
      </w:r>
      <w:r>
        <w:rPr>
          <w:rFonts w:hint="eastAsia" w:ascii="Times New Roman" w:hAnsi="Times New Roman" w:eastAsia="黑体" w:cs="黑体"/>
          <w:bCs/>
          <w:snapToGrid/>
          <w:kern w:val="2"/>
          <w:highlight w:val="none"/>
        </w:rPr>
        <w:t>2</w:t>
      </w:r>
      <w:r>
        <w:rPr>
          <w:rFonts w:hint="eastAsia" w:ascii="黑体" w:hAnsi="黑体" w:eastAsia="黑体" w:cs="黑体"/>
          <w:bCs/>
          <w:snapToGrid/>
          <w:kern w:val="2"/>
          <w:highlight w:val="none"/>
        </w:rPr>
        <w:t>.组织指挥体系</w:t>
      </w:r>
      <w:r>
        <w:tab/>
      </w:r>
      <w:r>
        <w:fldChar w:fldCharType="begin"/>
      </w:r>
      <w:r>
        <w:instrText xml:space="preserve"> PAGEREF _Toc15404 \h </w:instrText>
      </w:r>
      <w:r>
        <w:fldChar w:fldCharType="separate"/>
      </w:r>
      <w:r>
        <w:t>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_Toc8500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lang w:eastAsia="zh-CN"/>
        </w:rPr>
        <w:t>区</w:t>
      </w:r>
      <w:r>
        <w:rPr>
          <w:rFonts w:hint="eastAsia" w:ascii="楷体_GB2312" w:hAnsi="楷体_GB2312" w:eastAsia="楷体_GB2312" w:cs="楷体_GB2312"/>
          <w:snapToGrid/>
          <w:kern w:val="2"/>
          <w:highlight w:val="none"/>
        </w:rPr>
        <w:t>森林防灭火指挥部</w:t>
      </w:r>
      <w:r>
        <w:tab/>
      </w:r>
      <w:r>
        <w:fldChar w:fldCharType="begin"/>
      </w:r>
      <w:r>
        <w:instrText xml:space="preserve"> PAGEREF _Toc8500 \h </w:instrText>
      </w:r>
      <w:r>
        <w:fldChar w:fldCharType="separate"/>
      </w:r>
      <w:r>
        <w:t>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_Toc5284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lang w:eastAsia="zh-CN"/>
        </w:rPr>
        <w:t>区</w:t>
      </w:r>
      <w:r>
        <w:rPr>
          <w:rFonts w:hint="eastAsia" w:ascii="楷体_GB2312" w:hAnsi="楷体_GB2312" w:eastAsia="楷体_GB2312" w:cs="楷体_GB2312"/>
          <w:snapToGrid/>
          <w:kern w:val="2"/>
          <w:highlight w:val="none"/>
        </w:rPr>
        <w:t>森林防灭火指挥部办公室</w:t>
      </w:r>
      <w:r>
        <w:tab/>
      </w:r>
      <w:r>
        <w:fldChar w:fldCharType="begin"/>
      </w:r>
      <w:r>
        <w:instrText xml:space="preserve"> PAGEREF _Toc5284 \h </w:instrText>
      </w:r>
      <w:r>
        <w:fldChar w:fldCharType="separate"/>
      </w:r>
      <w:r>
        <w:t>9</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_Toc21356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lang w:eastAsia="zh-CN"/>
        </w:rPr>
        <w:t>区</w:t>
      </w:r>
      <w:r>
        <w:rPr>
          <w:rFonts w:hint="eastAsia" w:ascii="楷体_GB2312" w:hAnsi="楷体_GB2312" w:eastAsia="楷体_GB2312" w:cs="楷体_GB2312"/>
          <w:snapToGrid/>
          <w:kern w:val="2"/>
          <w:highlight w:val="none"/>
        </w:rPr>
        <w:t>森林防灭火指挥部成员单位职责</w:t>
      </w:r>
      <w:r>
        <w:tab/>
      </w:r>
      <w:r>
        <w:fldChar w:fldCharType="begin"/>
      </w:r>
      <w:r>
        <w:instrText xml:space="preserve"> PAGEREF _Toc21356 \h </w:instrText>
      </w:r>
      <w:r>
        <w:fldChar w:fldCharType="separate"/>
      </w:r>
      <w:r>
        <w:t>10</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_Toc2495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4</w:t>
      </w:r>
      <w:r>
        <w:rPr>
          <w:rFonts w:hint="eastAsia" w:ascii="楷体_GB2312" w:hAnsi="楷体_GB2312" w:eastAsia="楷体_GB2312" w:cs="楷体_GB2312"/>
          <w:snapToGrid/>
          <w:kern w:val="2"/>
          <w:highlight w:val="none"/>
        </w:rPr>
        <w:t>专家组</w:t>
      </w:r>
      <w:r>
        <w:tab/>
      </w:r>
      <w:r>
        <w:fldChar w:fldCharType="begin"/>
      </w:r>
      <w:r>
        <w:instrText xml:space="preserve"> PAGEREF _Toc2495 \h </w:instrText>
      </w:r>
      <w:r>
        <w:fldChar w:fldCharType="separate"/>
      </w:r>
      <w:r>
        <w:t>14</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_Toc5362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5</w:t>
      </w:r>
      <w:r>
        <w:rPr>
          <w:rFonts w:hint="eastAsia" w:ascii="楷体_GB2312" w:hAnsi="楷体_GB2312" w:eastAsia="楷体_GB2312" w:cs="楷体_GB2312"/>
          <w:snapToGrid/>
          <w:kern w:val="2"/>
          <w:highlight w:val="none"/>
        </w:rPr>
        <w:t>扑火指挥员</w:t>
      </w:r>
      <w:r>
        <w:rPr>
          <w:rFonts w:hint="eastAsia" w:ascii="楷体_GB2312" w:hAnsi="楷体_GB2312" w:eastAsia="楷体_GB2312" w:cs="楷体_GB2312"/>
          <w:snapToGrid/>
          <w:kern w:val="2"/>
          <w:highlight w:val="none"/>
          <w:lang w:eastAsia="zh-CN"/>
        </w:rPr>
        <w:t>库</w:t>
      </w:r>
      <w:r>
        <w:tab/>
      </w:r>
      <w:r>
        <w:fldChar w:fldCharType="begin"/>
      </w:r>
      <w:r>
        <w:instrText xml:space="preserve"> PAGEREF _Toc5362 \h </w:instrText>
      </w:r>
      <w:r>
        <w:fldChar w:fldCharType="separate"/>
      </w:r>
      <w:r>
        <w:t>14</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_Toc5698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6</w:t>
      </w:r>
      <w:r>
        <w:rPr>
          <w:rFonts w:hint="eastAsia" w:ascii="楷体_GB2312" w:hAnsi="楷体_GB2312" w:eastAsia="楷体_GB2312" w:cs="楷体_GB2312"/>
          <w:snapToGrid/>
          <w:kern w:val="2"/>
          <w:highlight w:val="none"/>
          <w:lang w:eastAsia="zh-CN"/>
        </w:rPr>
        <w:t>基层</w:t>
      </w:r>
      <w:r>
        <w:rPr>
          <w:rFonts w:hint="eastAsia" w:ascii="楷体_GB2312" w:hAnsi="楷体_GB2312" w:eastAsia="楷体_GB2312" w:cs="楷体_GB2312"/>
          <w:snapToGrid/>
          <w:kern w:val="2"/>
          <w:highlight w:val="none"/>
        </w:rPr>
        <w:t>森林防灭火指挥机构</w:t>
      </w:r>
      <w:r>
        <w:tab/>
      </w:r>
      <w:r>
        <w:fldChar w:fldCharType="begin"/>
      </w:r>
      <w:r>
        <w:instrText xml:space="preserve"> PAGEREF _Toc5698 \h </w:instrText>
      </w:r>
      <w:r>
        <w:fldChar w:fldCharType="separate"/>
      </w:r>
      <w:r>
        <w:t>14</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_Toc24900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7</w:t>
      </w:r>
      <w:r>
        <w:rPr>
          <w:rFonts w:hint="eastAsia" w:ascii="楷体_GB2312" w:hAnsi="楷体_GB2312" w:eastAsia="楷体_GB2312" w:cs="楷体_GB2312"/>
          <w:snapToGrid/>
          <w:kern w:val="2"/>
          <w:highlight w:val="none"/>
        </w:rPr>
        <w:t>应急处置指挥机构</w:t>
      </w:r>
      <w:r>
        <w:tab/>
      </w:r>
      <w:r>
        <w:fldChar w:fldCharType="begin"/>
      </w:r>
      <w:r>
        <w:instrText xml:space="preserve"> PAGEREF _Toc24900 \h </w:instrText>
      </w:r>
      <w:r>
        <w:fldChar w:fldCharType="separate"/>
      </w:r>
      <w:r>
        <w:t>15</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_Toc11353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7</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机构设置</w:t>
      </w:r>
      <w:r>
        <w:tab/>
      </w:r>
      <w:r>
        <w:fldChar w:fldCharType="begin"/>
      </w:r>
      <w:r>
        <w:instrText xml:space="preserve"> PAGEREF _Toc11353 \h </w:instrText>
      </w:r>
      <w:r>
        <w:fldChar w:fldCharType="separate"/>
      </w:r>
      <w:r>
        <w:t>15</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_Toc15353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7</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指挥原则</w:t>
      </w:r>
      <w:r>
        <w:tab/>
      </w:r>
      <w:r>
        <w:fldChar w:fldCharType="begin"/>
      </w:r>
      <w:r>
        <w:instrText xml:space="preserve"> PAGEREF _Toc15353 \h </w:instrText>
      </w:r>
      <w:r>
        <w:fldChar w:fldCharType="separate"/>
      </w:r>
      <w:r>
        <w:t>15</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_Toc6897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7</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3</w:t>
      </w:r>
      <w:r>
        <w:rPr>
          <w:rFonts w:hint="eastAsia" w:ascii="仿宋_GB2312" w:hAnsi="仿宋_GB2312" w:eastAsia="仿宋_GB2312" w:cs="仿宋_GB2312"/>
          <w:snapToGrid/>
          <w:kern w:val="2"/>
          <w:highlight w:val="none"/>
        </w:rPr>
        <w:t>指挥关系</w:t>
      </w:r>
      <w:r>
        <w:tab/>
      </w:r>
      <w:r>
        <w:fldChar w:fldCharType="begin"/>
      </w:r>
      <w:r>
        <w:instrText xml:space="preserve"> PAGEREF _Toc6897 \h </w:instrText>
      </w:r>
      <w:r>
        <w:fldChar w:fldCharType="separate"/>
      </w:r>
      <w:r>
        <w:t>15</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_Toc29488 </w:instrText>
      </w:r>
      <w:r>
        <w:rPr>
          <w:rFonts w:ascii="黑体" w:hAnsi="宋体" w:eastAsia="黑体"/>
          <w:bCs/>
          <w:snapToGrid/>
          <w:kern w:val="2"/>
          <w:szCs w:val="36"/>
          <w:highlight w:val="none"/>
        </w:rPr>
        <w:fldChar w:fldCharType="separate"/>
      </w:r>
      <w:r>
        <w:rPr>
          <w:rFonts w:hint="eastAsia" w:ascii="Times New Roman" w:hAnsi="Times New Roman" w:eastAsia="黑体" w:cs="黑体"/>
          <w:bCs/>
          <w:snapToGrid/>
          <w:kern w:val="2"/>
          <w:highlight w:val="none"/>
          <w:lang w:val="en-US" w:eastAsia="zh-CN"/>
        </w:rPr>
        <w:t>3</w:t>
      </w:r>
      <w:r>
        <w:rPr>
          <w:rFonts w:hint="eastAsia" w:ascii="黑体" w:hAnsi="黑体" w:eastAsia="黑体" w:cs="黑体"/>
          <w:bCs/>
          <w:snapToGrid/>
          <w:kern w:val="2"/>
          <w:highlight w:val="none"/>
          <w:lang w:val="en-US" w:eastAsia="zh-CN"/>
        </w:rPr>
        <w:t>.</w:t>
      </w:r>
      <w:r>
        <w:rPr>
          <w:rFonts w:hint="eastAsia" w:ascii="黑体" w:hAnsi="黑体" w:eastAsia="黑体" w:cs="黑体"/>
          <w:bCs/>
          <w:snapToGrid/>
          <w:kern w:val="2"/>
          <w:highlight w:val="none"/>
        </w:rPr>
        <w:t>应急处置力量</w:t>
      </w:r>
      <w:r>
        <w:tab/>
      </w:r>
      <w:r>
        <w:fldChar w:fldCharType="begin"/>
      </w:r>
      <w:r>
        <w:instrText xml:space="preserve"> PAGEREF _Toc29488 \h </w:instrText>
      </w:r>
      <w:r>
        <w:fldChar w:fldCharType="separate"/>
      </w:r>
      <w:r>
        <w:t>16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_Toc28394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救援力量</w:t>
      </w:r>
      <w:r>
        <w:rPr>
          <w:rFonts w:hint="eastAsia" w:ascii="楷体_GB2312" w:hAnsi="楷体_GB2312" w:eastAsia="楷体_GB2312" w:cs="楷体_GB2312"/>
          <w:snapToGrid/>
          <w:kern w:val="2"/>
          <w:highlight w:val="none"/>
          <w:lang w:eastAsia="zh-CN"/>
        </w:rPr>
        <w:t>组</w:t>
      </w:r>
      <w:r>
        <w:rPr>
          <w:rFonts w:hint="eastAsia" w:ascii="楷体_GB2312" w:hAnsi="楷体_GB2312" w:eastAsia="楷体_GB2312" w:cs="楷体_GB2312"/>
          <w:snapToGrid/>
          <w:kern w:val="2"/>
          <w:highlight w:val="none"/>
        </w:rPr>
        <w:t>成</w:t>
      </w:r>
      <w:r>
        <w:tab/>
      </w:r>
      <w:r>
        <w:fldChar w:fldCharType="begin"/>
      </w:r>
      <w:r>
        <w:instrText xml:space="preserve"> PAGEREF _Toc28394 \h </w:instrText>
      </w:r>
      <w:r>
        <w:fldChar w:fldCharType="separate"/>
      </w:r>
      <w:r>
        <w:t>16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_Toc647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增援力量组成</w:t>
      </w:r>
      <w:r>
        <w:tab/>
      </w:r>
      <w:r>
        <w:fldChar w:fldCharType="begin"/>
      </w:r>
      <w:r>
        <w:instrText xml:space="preserve"> PAGEREF _Toc647 \h </w:instrText>
      </w:r>
      <w:r>
        <w:fldChar w:fldCharType="separate"/>
      </w:r>
      <w:r>
        <w:t>16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_Toc14017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lang w:val="en-US" w:eastAsia="zh-CN"/>
        </w:rPr>
        <w:t>区内</w:t>
      </w:r>
      <w:r>
        <w:rPr>
          <w:rFonts w:hint="eastAsia" w:ascii="楷体_GB2312" w:hAnsi="楷体_GB2312" w:eastAsia="楷体_GB2312" w:cs="楷体_GB2312"/>
          <w:snapToGrid/>
          <w:kern w:val="2"/>
          <w:highlight w:val="none"/>
        </w:rPr>
        <w:t>增援力量调动</w:t>
      </w:r>
      <w:r>
        <w:tab/>
      </w:r>
      <w:r>
        <w:fldChar w:fldCharType="begin"/>
      </w:r>
      <w:r>
        <w:instrText xml:space="preserve"> PAGEREF _Toc14017 \h </w:instrText>
      </w:r>
      <w:r>
        <w:fldChar w:fldCharType="separate"/>
      </w:r>
      <w:r>
        <w:t>16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_Toc655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3</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4</w:t>
      </w:r>
      <w:r>
        <w:rPr>
          <w:rFonts w:hint="eastAsia" w:ascii="楷体_GB2312" w:hAnsi="楷体_GB2312" w:eastAsia="楷体_GB2312" w:cs="楷体_GB2312"/>
          <w:snapToGrid/>
          <w:kern w:val="2"/>
          <w:highlight w:val="none"/>
          <w:lang w:val="en-US" w:eastAsia="zh-CN"/>
        </w:rPr>
        <w:t>跨区增援调动</w:t>
      </w:r>
      <w:r>
        <w:tab/>
      </w:r>
      <w:r>
        <w:fldChar w:fldCharType="begin"/>
      </w:r>
      <w:r>
        <w:instrText xml:space="preserve"> PAGEREF _Toc655 \h </w:instrText>
      </w:r>
      <w:r>
        <w:fldChar w:fldCharType="separate"/>
      </w:r>
      <w:r>
        <w:t>17</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_Toc1187 </w:instrText>
      </w:r>
      <w:r>
        <w:rPr>
          <w:rFonts w:ascii="黑体" w:hAnsi="宋体" w:eastAsia="黑体"/>
          <w:bCs/>
          <w:snapToGrid/>
          <w:kern w:val="2"/>
          <w:szCs w:val="36"/>
          <w:highlight w:val="none"/>
        </w:rPr>
        <w:fldChar w:fldCharType="separate"/>
      </w:r>
      <w:r>
        <w:rPr>
          <w:rFonts w:hint="eastAsia" w:ascii="Times New Roman" w:hAnsi="Times New Roman" w:eastAsia="黑体" w:cs="黑体"/>
          <w:bCs/>
          <w:snapToGrid/>
          <w:kern w:val="2"/>
          <w:highlight w:val="none"/>
          <w:lang w:val="en-US" w:eastAsia="zh-CN"/>
        </w:rPr>
        <w:t>4</w:t>
      </w:r>
      <w:r>
        <w:rPr>
          <w:rFonts w:hint="eastAsia" w:ascii="黑体" w:hAnsi="黑体" w:eastAsia="黑体" w:cs="黑体"/>
          <w:bCs/>
          <w:snapToGrid/>
          <w:kern w:val="2"/>
          <w:highlight w:val="none"/>
          <w:lang w:val="en-US" w:eastAsia="zh-CN"/>
        </w:rPr>
        <w:t>.</w:t>
      </w:r>
      <w:r>
        <w:rPr>
          <w:rFonts w:hint="eastAsia" w:ascii="黑体" w:hAnsi="黑体" w:eastAsia="黑体" w:cs="黑体"/>
          <w:bCs/>
          <w:snapToGrid/>
          <w:kern w:val="2"/>
          <w:highlight w:val="none"/>
        </w:rPr>
        <w:t>森林火险监测预警和响应措施</w:t>
      </w:r>
      <w:r>
        <w:tab/>
      </w:r>
      <w:r>
        <w:fldChar w:fldCharType="begin"/>
      </w:r>
      <w:r>
        <w:instrText xml:space="preserve"> PAGEREF _Toc1187 \h </w:instrText>
      </w:r>
      <w:r>
        <w:fldChar w:fldCharType="separate"/>
      </w:r>
      <w:r>
        <w:t>17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_Toc12570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4</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1</w:t>
      </w:r>
      <w:r>
        <w:rPr>
          <w:rFonts w:hint="eastAsia" w:ascii="楷体_GB2312" w:hAnsi="楷体_GB2312" w:eastAsia="楷体_GB2312" w:cs="楷体_GB2312"/>
          <w:snapToGrid/>
          <w:kern w:val="2"/>
          <w:highlight w:val="none"/>
        </w:rPr>
        <w:t>森林火险级别划分</w:t>
      </w:r>
      <w:r>
        <w:tab/>
      </w:r>
      <w:r>
        <w:fldChar w:fldCharType="begin"/>
      </w:r>
      <w:r>
        <w:instrText xml:space="preserve"> PAGEREF _Toc12570 \h </w:instrText>
      </w:r>
      <w:r>
        <w:fldChar w:fldCharType="separate"/>
      </w:r>
      <w:r>
        <w:t>17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_Toc10765 </w:instrText>
      </w:r>
      <w:r>
        <w:rPr>
          <w:rFonts w:ascii="黑体" w:hAnsi="宋体" w:eastAsia="黑体"/>
          <w:bCs/>
          <w:snapToGrid/>
          <w:kern w:val="2"/>
          <w:szCs w:val="36"/>
          <w:highlight w:val="none"/>
        </w:rPr>
        <w:fldChar w:fldCharType="separate"/>
      </w:r>
      <w:r>
        <w:rPr>
          <w:rFonts w:hint="eastAsia" w:ascii="Times New Roman" w:hAnsi="Times New Roman" w:cs="楷体_GB2312"/>
          <w:snapToGrid/>
          <w:kern w:val="2"/>
          <w:highlight w:val="none"/>
          <w:lang w:val="en-US" w:eastAsia="zh-CN"/>
        </w:rPr>
        <w:t>4</w:t>
      </w:r>
      <w:r>
        <w:rPr>
          <w:rFonts w:hint="eastAsia" w:ascii="楷体_GB2312" w:hAnsi="楷体_GB2312" w:cs="楷体_GB2312"/>
          <w:snapToGrid/>
          <w:kern w:val="2"/>
          <w:highlight w:val="none"/>
          <w:lang w:val="en-US" w:eastAsia="zh-CN"/>
        </w:rPr>
        <w:t>.</w:t>
      </w:r>
      <w:r>
        <w:rPr>
          <w:rFonts w:hint="eastAsia" w:ascii="Times New Roman" w:hAnsi="Times New Roman" w:cs="楷体_GB2312"/>
          <w:snapToGrid/>
          <w:kern w:val="2"/>
          <w:highlight w:val="none"/>
          <w:lang w:val="en-US" w:eastAsia="zh-CN"/>
        </w:rPr>
        <w:t>2</w:t>
      </w:r>
      <w:r>
        <w:rPr>
          <w:rFonts w:hint="eastAsia" w:ascii="楷体_GB2312" w:hAnsi="楷体_GB2312" w:eastAsia="楷体_GB2312" w:cs="楷体_GB2312"/>
          <w:snapToGrid/>
          <w:kern w:val="2"/>
          <w:highlight w:val="none"/>
          <w:lang w:val="en-US" w:eastAsia="zh-CN"/>
        </w:rPr>
        <w:t>森林火险预警发布</w:t>
      </w:r>
      <w:r>
        <w:tab/>
      </w:r>
      <w:r>
        <w:fldChar w:fldCharType="begin"/>
      </w:r>
      <w:r>
        <w:instrText xml:space="preserve"> PAGEREF _Toc10765 \h </w:instrText>
      </w:r>
      <w:r>
        <w:fldChar w:fldCharType="separate"/>
      </w:r>
      <w:r>
        <w:t>17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_Toc16607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4</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3</w:t>
      </w:r>
      <w:r>
        <w:rPr>
          <w:rFonts w:hint="eastAsia" w:ascii="楷体_GB2312" w:hAnsi="楷体_GB2312" w:eastAsia="楷体_GB2312" w:cs="楷体_GB2312"/>
          <w:snapToGrid/>
          <w:kern w:val="2"/>
          <w:highlight w:val="none"/>
        </w:rPr>
        <w:t>森林火险预警响应</w:t>
      </w:r>
      <w:r>
        <w:tab/>
      </w:r>
      <w:r>
        <w:fldChar w:fldCharType="begin"/>
      </w:r>
      <w:r>
        <w:instrText xml:space="preserve"> PAGEREF _Toc16607 \h </w:instrText>
      </w:r>
      <w:r>
        <w:fldChar w:fldCharType="separate"/>
      </w:r>
      <w:r>
        <w:t>17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_Toc16731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lang w:val="en-US" w:eastAsia="zh-CN"/>
        </w:rPr>
        <w:t>4</w:t>
      </w:r>
      <w:r>
        <w:rPr>
          <w:rFonts w:hint="eastAsia" w:ascii="仿宋_GB2312" w:hAnsi="仿宋_GB2312" w:eastAsia="仿宋_GB2312" w:cs="仿宋_GB2312"/>
          <w:snapToGrid/>
          <w:kern w:val="2"/>
          <w:highlight w:val="none"/>
          <w:lang w:val="en-US" w:eastAsia="zh-CN"/>
        </w:rPr>
        <w:t>.</w:t>
      </w:r>
      <w:r>
        <w:rPr>
          <w:rFonts w:hint="eastAsia" w:ascii="Times New Roman" w:hAnsi="Times New Roman" w:eastAsia="仿宋_GB2312" w:cs="仿宋_GB2312"/>
          <w:snapToGrid/>
          <w:kern w:val="2"/>
          <w:highlight w:val="none"/>
          <w:lang w:val="en-US" w:eastAsia="zh-CN"/>
        </w:rPr>
        <w:t>3</w:t>
      </w:r>
      <w:r>
        <w:rPr>
          <w:rFonts w:hint="eastAsia" w:ascii="仿宋_GB2312" w:hAnsi="仿宋_GB2312" w:eastAsia="仿宋_GB2312" w:cs="仿宋_GB2312"/>
          <w:snapToGrid/>
          <w:kern w:val="2"/>
          <w:highlight w:val="none"/>
          <w:lang w:val="en-US" w:eastAsia="zh-CN"/>
        </w:rPr>
        <w:t>.</w:t>
      </w:r>
      <w:r>
        <w:rPr>
          <w:rFonts w:hint="eastAsia" w:ascii="Times New Roman" w:hAnsi="Times New Roman" w:eastAsia="仿宋_GB2312" w:cs="仿宋_GB2312"/>
          <w:snapToGrid/>
          <w:kern w:val="2"/>
          <w:highlight w:val="none"/>
          <w:lang w:val="en-US" w:eastAsia="zh-CN"/>
        </w:rPr>
        <w:t>1</w:t>
      </w:r>
      <w:r>
        <w:rPr>
          <w:rFonts w:hint="eastAsia" w:ascii="仿宋_GB2312" w:hAnsi="仿宋_GB2312" w:eastAsia="仿宋_GB2312" w:cs="仿宋_GB2312"/>
          <w:snapToGrid/>
          <w:kern w:val="2"/>
          <w:highlight w:val="none"/>
          <w:lang w:eastAsia="zh-CN"/>
        </w:rPr>
        <w:t>黄</w:t>
      </w:r>
      <w:r>
        <w:rPr>
          <w:rFonts w:hint="eastAsia" w:ascii="仿宋_GB2312" w:hAnsi="仿宋_GB2312" w:eastAsia="仿宋_GB2312" w:cs="仿宋_GB2312"/>
          <w:snapToGrid/>
          <w:kern w:val="2"/>
          <w:highlight w:val="none"/>
        </w:rPr>
        <w:t>色预警响应</w:t>
      </w:r>
      <w:r>
        <w:tab/>
      </w:r>
      <w:r>
        <w:fldChar w:fldCharType="begin"/>
      </w:r>
      <w:r>
        <w:instrText xml:space="preserve"> PAGEREF _Toc16731 \h </w:instrText>
      </w:r>
      <w:r>
        <w:fldChar w:fldCharType="separate"/>
      </w:r>
      <w:r>
        <w:t>17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_Toc21310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lang w:val="en-US" w:eastAsia="zh-CN"/>
        </w:rPr>
        <w:t>4</w:t>
      </w:r>
      <w:r>
        <w:rPr>
          <w:rFonts w:hint="eastAsia" w:ascii="仿宋_GB2312" w:hAnsi="仿宋_GB2312" w:eastAsia="仿宋_GB2312" w:cs="仿宋_GB2312"/>
          <w:snapToGrid/>
          <w:kern w:val="2"/>
          <w:highlight w:val="none"/>
          <w:lang w:val="en-US" w:eastAsia="zh-CN"/>
        </w:rPr>
        <w:t>.</w:t>
      </w:r>
      <w:r>
        <w:rPr>
          <w:rFonts w:hint="eastAsia" w:ascii="Times New Roman" w:hAnsi="Times New Roman" w:eastAsia="仿宋_GB2312" w:cs="仿宋_GB2312"/>
          <w:snapToGrid/>
          <w:kern w:val="2"/>
          <w:highlight w:val="none"/>
          <w:lang w:val="en-US" w:eastAsia="zh-CN"/>
        </w:rPr>
        <w:t>3</w:t>
      </w:r>
      <w:r>
        <w:rPr>
          <w:rFonts w:hint="eastAsia" w:ascii="仿宋_GB2312" w:hAnsi="仿宋_GB2312" w:eastAsia="仿宋_GB2312" w:cs="仿宋_GB2312"/>
          <w:snapToGrid/>
          <w:kern w:val="2"/>
          <w:highlight w:val="none"/>
          <w:lang w:val="en-US" w:eastAsia="zh-CN"/>
        </w:rPr>
        <w:t>.</w:t>
      </w:r>
      <w:r>
        <w:rPr>
          <w:rFonts w:hint="eastAsia" w:ascii="Times New Roman" w:hAnsi="Times New Roman" w:eastAsia="仿宋_GB2312" w:cs="仿宋_GB2312"/>
          <w:snapToGrid/>
          <w:kern w:val="2"/>
          <w:highlight w:val="none"/>
          <w:lang w:val="en-US" w:eastAsia="zh-CN"/>
        </w:rPr>
        <w:t>2</w:t>
      </w:r>
      <w:r>
        <w:rPr>
          <w:rFonts w:hint="eastAsia" w:ascii="仿宋_GB2312" w:hAnsi="仿宋_GB2312" w:eastAsia="仿宋_GB2312" w:cs="仿宋_GB2312"/>
          <w:snapToGrid/>
          <w:kern w:val="2"/>
          <w:highlight w:val="none"/>
        </w:rPr>
        <w:t>橙色预警响应</w:t>
      </w:r>
      <w:r>
        <w:tab/>
      </w:r>
      <w:r>
        <w:fldChar w:fldCharType="begin"/>
      </w:r>
      <w:r>
        <w:instrText xml:space="preserve"> PAGEREF _Toc21310 \h </w:instrText>
      </w:r>
      <w:r>
        <w:fldChar w:fldCharType="separate"/>
      </w:r>
      <w:r>
        <w:t>18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_Toc31999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lang w:val="en-US" w:eastAsia="zh-CN"/>
        </w:rPr>
        <w:t>4</w:t>
      </w:r>
      <w:r>
        <w:rPr>
          <w:rFonts w:hint="eastAsia" w:ascii="仿宋_GB2312" w:hAnsi="仿宋_GB2312" w:eastAsia="仿宋_GB2312" w:cs="仿宋_GB2312"/>
          <w:snapToGrid/>
          <w:kern w:val="2"/>
          <w:highlight w:val="none"/>
          <w:lang w:val="en-US" w:eastAsia="zh-CN"/>
        </w:rPr>
        <w:t>.</w:t>
      </w:r>
      <w:r>
        <w:rPr>
          <w:rFonts w:hint="eastAsia" w:ascii="Times New Roman" w:hAnsi="Times New Roman" w:eastAsia="仿宋_GB2312" w:cs="仿宋_GB2312"/>
          <w:snapToGrid/>
          <w:kern w:val="2"/>
          <w:highlight w:val="none"/>
          <w:lang w:val="en-US" w:eastAsia="zh-CN"/>
        </w:rPr>
        <w:t>3</w:t>
      </w:r>
      <w:r>
        <w:rPr>
          <w:rFonts w:hint="eastAsia" w:ascii="仿宋_GB2312" w:hAnsi="仿宋_GB2312" w:eastAsia="仿宋_GB2312" w:cs="仿宋_GB2312"/>
          <w:snapToGrid/>
          <w:kern w:val="2"/>
          <w:highlight w:val="none"/>
          <w:lang w:val="en-US" w:eastAsia="zh-CN"/>
        </w:rPr>
        <w:t>.</w:t>
      </w:r>
      <w:r>
        <w:rPr>
          <w:rFonts w:hint="eastAsia" w:ascii="Times New Roman" w:hAnsi="Times New Roman" w:eastAsia="仿宋_GB2312" w:cs="仿宋_GB2312"/>
          <w:snapToGrid/>
          <w:kern w:val="2"/>
          <w:highlight w:val="none"/>
          <w:lang w:val="en-US" w:eastAsia="zh-CN"/>
        </w:rPr>
        <w:t>3</w:t>
      </w:r>
      <w:r>
        <w:rPr>
          <w:rFonts w:hint="eastAsia" w:ascii="仿宋_GB2312" w:hAnsi="仿宋_GB2312" w:eastAsia="仿宋_GB2312" w:cs="仿宋_GB2312"/>
          <w:snapToGrid/>
          <w:kern w:val="2"/>
          <w:highlight w:val="none"/>
        </w:rPr>
        <w:t>红色预警响应</w:t>
      </w:r>
      <w:r>
        <w:tab/>
      </w:r>
      <w:r>
        <w:fldChar w:fldCharType="begin"/>
      </w:r>
      <w:r>
        <w:instrText xml:space="preserve"> PAGEREF _Toc31999 \h </w:instrText>
      </w:r>
      <w:r>
        <w:fldChar w:fldCharType="separate"/>
      </w:r>
      <w:r>
        <w:t>18</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_Toc21807 </w:instrText>
      </w:r>
      <w:r>
        <w:rPr>
          <w:rFonts w:ascii="黑体" w:hAnsi="宋体" w:eastAsia="黑体"/>
          <w:bCs/>
          <w:snapToGrid/>
          <w:kern w:val="2"/>
          <w:szCs w:val="36"/>
          <w:highlight w:val="none"/>
        </w:rPr>
        <w:fldChar w:fldCharType="separate"/>
      </w:r>
      <w:r>
        <w:rPr>
          <w:rFonts w:hint="eastAsia" w:ascii="Times New Roman" w:hAnsi="Times New Roman" w:eastAsia="黑体" w:cs="黑体"/>
          <w:bCs/>
          <w:snapToGrid/>
          <w:kern w:val="2"/>
          <w:highlight w:val="none"/>
        </w:rPr>
        <w:t>5</w:t>
      </w:r>
      <w:r>
        <w:rPr>
          <w:rFonts w:hint="eastAsia" w:ascii="黑体" w:hAnsi="黑体" w:eastAsia="黑体" w:cs="黑体"/>
          <w:bCs/>
          <w:snapToGrid/>
          <w:kern w:val="2"/>
          <w:highlight w:val="none"/>
        </w:rPr>
        <w:t>.森林火情监测和信息报告</w:t>
      </w:r>
      <w:r>
        <w:tab/>
      </w:r>
      <w:r>
        <w:fldChar w:fldCharType="begin"/>
      </w:r>
      <w:r>
        <w:instrText xml:space="preserve"> PAGEREF _Toc21807 \h </w:instrText>
      </w:r>
      <w:r>
        <w:fldChar w:fldCharType="separate"/>
      </w:r>
      <w:r>
        <w:t>18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_Toc12594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5</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1</w:t>
      </w:r>
      <w:r>
        <w:rPr>
          <w:rFonts w:hint="eastAsia" w:ascii="楷体_GB2312" w:hAnsi="楷体_GB2312" w:eastAsia="楷体_GB2312" w:cs="楷体_GB2312"/>
          <w:snapToGrid/>
          <w:kern w:val="2"/>
          <w:highlight w:val="none"/>
        </w:rPr>
        <w:t>森林火情监测</w:t>
      </w:r>
      <w:r>
        <w:tab/>
      </w:r>
      <w:r>
        <w:fldChar w:fldCharType="begin"/>
      </w:r>
      <w:r>
        <w:instrText xml:space="preserve"> PAGEREF _Toc12594 \h </w:instrText>
      </w:r>
      <w:r>
        <w:fldChar w:fldCharType="separate"/>
      </w:r>
      <w:r>
        <w:t>18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_Toc163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5</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2</w:t>
      </w:r>
      <w:r>
        <w:rPr>
          <w:rFonts w:hint="eastAsia" w:ascii="楷体_GB2312" w:hAnsi="楷体_GB2312" w:eastAsia="楷体_GB2312" w:cs="楷体_GB2312"/>
          <w:snapToGrid/>
          <w:kern w:val="2"/>
          <w:highlight w:val="none"/>
        </w:rPr>
        <w:t>森林火情报告</w:t>
      </w:r>
      <w:r>
        <w:tab/>
      </w:r>
      <w:r>
        <w:fldChar w:fldCharType="begin"/>
      </w:r>
      <w:r>
        <w:instrText xml:space="preserve"> PAGEREF _Toc163 \h </w:instrText>
      </w:r>
      <w:r>
        <w:fldChar w:fldCharType="separate"/>
      </w:r>
      <w:r>
        <w:t>18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_Toc29782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5</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接报核查</w:t>
      </w:r>
      <w:r>
        <w:tab/>
      </w:r>
      <w:r>
        <w:fldChar w:fldCharType="begin"/>
      </w:r>
      <w:r>
        <w:instrText xml:space="preserve"> PAGEREF _Toc29782 \h </w:instrText>
      </w:r>
      <w:r>
        <w:fldChar w:fldCharType="separate"/>
      </w:r>
      <w:r>
        <w:t>18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_Toc3543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5</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报告要求</w:t>
      </w:r>
      <w:r>
        <w:tab/>
      </w:r>
      <w:r>
        <w:fldChar w:fldCharType="begin"/>
      </w:r>
      <w:r>
        <w:instrText xml:space="preserve"> PAGEREF _Toc3543 \h </w:instrText>
      </w:r>
      <w:r>
        <w:fldChar w:fldCharType="separate"/>
      </w:r>
      <w:r>
        <w:t>19</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_Toc21364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5</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3</w:t>
      </w:r>
      <w:r>
        <w:rPr>
          <w:rFonts w:hint="eastAsia" w:ascii="仿宋_GB2312" w:hAnsi="仿宋_GB2312" w:eastAsia="仿宋_GB2312" w:cs="仿宋_GB2312"/>
          <w:snapToGrid/>
          <w:kern w:val="2"/>
          <w:highlight w:val="none"/>
        </w:rPr>
        <w:t>报告时限</w:t>
      </w:r>
      <w:r>
        <w:tab/>
      </w:r>
      <w:r>
        <w:fldChar w:fldCharType="begin"/>
      </w:r>
      <w:r>
        <w:instrText xml:space="preserve"> PAGEREF _Toc21364 \h </w:instrText>
      </w:r>
      <w:r>
        <w:fldChar w:fldCharType="separate"/>
      </w:r>
      <w:r>
        <w:t>19</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_Toc15474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5</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4</w:t>
      </w:r>
      <w:r>
        <w:rPr>
          <w:rFonts w:hint="eastAsia" w:ascii="仿宋_GB2312" w:hAnsi="仿宋_GB2312" w:eastAsia="仿宋_GB2312" w:cs="仿宋_GB2312"/>
          <w:snapToGrid/>
          <w:kern w:val="2"/>
          <w:highlight w:val="none"/>
        </w:rPr>
        <w:t>报告内容</w:t>
      </w:r>
      <w:r>
        <w:tab/>
      </w:r>
      <w:r>
        <w:fldChar w:fldCharType="begin"/>
      </w:r>
      <w:r>
        <w:instrText xml:space="preserve"> PAGEREF _Toc15474 \h </w:instrText>
      </w:r>
      <w:r>
        <w:fldChar w:fldCharType="separate"/>
      </w:r>
      <w:r>
        <w:t>19</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_Toc17255 </w:instrText>
      </w:r>
      <w:r>
        <w:rPr>
          <w:rFonts w:ascii="黑体" w:hAnsi="宋体" w:eastAsia="黑体"/>
          <w:bCs/>
          <w:snapToGrid/>
          <w:kern w:val="2"/>
          <w:szCs w:val="36"/>
          <w:highlight w:val="none"/>
        </w:rPr>
        <w:fldChar w:fldCharType="separate"/>
      </w:r>
      <w:r>
        <w:rPr>
          <w:rFonts w:hint="eastAsia" w:ascii="Times New Roman" w:hAnsi="Times New Roman" w:eastAsia="黑体" w:cs="黑体"/>
          <w:snapToGrid/>
          <w:kern w:val="2"/>
          <w:highlight w:val="none"/>
        </w:rPr>
        <w:t>6</w:t>
      </w:r>
      <w:r>
        <w:rPr>
          <w:rFonts w:hint="eastAsia" w:ascii="黑体" w:hAnsi="黑体" w:eastAsia="黑体" w:cs="黑体"/>
          <w:snapToGrid/>
          <w:kern w:val="2"/>
          <w:highlight w:val="none"/>
        </w:rPr>
        <w:t>.森林火灾应急处置</w:t>
      </w:r>
      <w:r>
        <w:tab/>
      </w:r>
      <w:r>
        <w:fldChar w:fldCharType="begin"/>
      </w:r>
      <w:r>
        <w:instrText xml:space="preserve"> PAGEREF _Toc17255 \h </w:instrText>
      </w:r>
      <w:r>
        <w:fldChar w:fldCharType="separate"/>
      </w:r>
      <w:r>
        <w:t>20</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_Toc23142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6</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1</w:t>
      </w:r>
      <w:r>
        <w:rPr>
          <w:rFonts w:hint="eastAsia" w:ascii="楷体_GB2312" w:hAnsi="楷体_GB2312" w:eastAsia="楷体_GB2312" w:cs="楷体_GB2312"/>
          <w:snapToGrid/>
          <w:kern w:val="2"/>
          <w:highlight w:val="none"/>
        </w:rPr>
        <w:t>主要任务</w:t>
      </w:r>
      <w:r>
        <w:tab/>
      </w:r>
      <w:r>
        <w:fldChar w:fldCharType="begin"/>
      </w:r>
      <w:r>
        <w:instrText xml:space="preserve"> PAGEREF _Toc23142 \h </w:instrText>
      </w:r>
      <w:r>
        <w:fldChar w:fldCharType="separate"/>
      </w:r>
      <w:r>
        <w:t>20</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_Toc31936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扑救火灾</w:t>
      </w:r>
      <w:r>
        <w:tab/>
      </w:r>
      <w:r>
        <w:fldChar w:fldCharType="begin"/>
      </w:r>
      <w:r>
        <w:instrText xml:space="preserve"> PAGEREF _Toc31936 \h </w:instrText>
      </w:r>
      <w:r>
        <w:fldChar w:fldCharType="separate"/>
      </w:r>
      <w:r>
        <w:t>20</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_Toc24289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转移安置人员</w:t>
      </w:r>
      <w:r>
        <w:tab/>
      </w:r>
      <w:r>
        <w:fldChar w:fldCharType="begin"/>
      </w:r>
      <w:r>
        <w:instrText xml:space="preserve"> PAGEREF _Toc24289 \h </w:instrText>
      </w:r>
      <w:r>
        <w:fldChar w:fldCharType="separate"/>
      </w:r>
      <w:r>
        <w:t>20</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_Toc8034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3</w:t>
      </w:r>
      <w:r>
        <w:rPr>
          <w:rFonts w:hint="eastAsia" w:ascii="仿宋_GB2312" w:hAnsi="仿宋_GB2312" w:eastAsia="仿宋_GB2312" w:cs="仿宋_GB2312"/>
          <w:snapToGrid/>
          <w:kern w:val="2"/>
          <w:highlight w:val="none"/>
        </w:rPr>
        <w:t>救治伤病员</w:t>
      </w:r>
      <w:r>
        <w:tab/>
      </w:r>
      <w:r>
        <w:fldChar w:fldCharType="begin"/>
      </w:r>
      <w:r>
        <w:instrText xml:space="preserve"> PAGEREF _Toc8034 \h </w:instrText>
      </w:r>
      <w:r>
        <w:fldChar w:fldCharType="separate"/>
      </w:r>
      <w:r>
        <w:t>21</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_Toc8668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4</w:t>
      </w:r>
      <w:r>
        <w:rPr>
          <w:rFonts w:hint="eastAsia" w:ascii="仿宋_GB2312" w:hAnsi="仿宋_GB2312" w:eastAsia="仿宋_GB2312" w:cs="仿宋_GB2312"/>
          <w:snapToGrid/>
          <w:kern w:val="2"/>
          <w:highlight w:val="none"/>
        </w:rPr>
        <w:t>保护重要目标</w:t>
      </w:r>
      <w:r>
        <w:tab/>
      </w:r>
      <w:r>
        <w:fldChar w:fldCharType="begin"/>
      </w:r>
      <w:r>
        <w:instrText xml:space="preserve"> PAGEREF _Toc8668 \h </w:instrText>
      </w:r>
      <w:r>
        <w:fldChar w:fldCharType="separate"/>
      </w:r>
      <w:r>
        <w:t>21</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_Toc9321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5</w:t>
      </w:r>
      <w:r>
        <w:rPr>
          <w:rFonts w:hint="eastAsia" w:ascii="仿宋_GB2312" w:hAnsi="仿宋_GB2312" w:eastAsia="仿宋_GB2312" w:cs="仿宋_GB2312"/>
          <w:snapToGrid/>
          <w:kern w:val="2"/>
          <w:highlight w:val="none"/>
        </w:rPr>
        <w:t>维护社会治安</w:t>
      </w:r>
      <w:r>
        <w:tab/>
      </w:r>
      <w:r>
        <w:fldChar w:fldCharType="begin"/>
      </w:r>
      <w:r>
        <w:instrText xml:space="preserve"> PAGEREF _Toc9321 \h </w:instrText>
      </w:r>
      <w:r>
        <w:fldChar w:fldCharType="separate"/>
      </w:r>
      <w:r>
        <w:t>21</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_Toc15622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发布信息</w:t>
      </w:r>
      <w:r>
        <w:tab/>
      </w:r>
      <w:r>
        <w:fldChar w:fldCharType="begin"/>
      </w:r>
      <w:r>
        <w:instrText xml:space="preserve"> PAGEREF _Toc15622 \h </w:instrText>
      </w:r>
      <w:r>
        <w:fldChar w:fldCharType="separate"/>
      </w:r>
      <w:r>
        <w:t>21</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_Toc6103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7</w:t>
      </w:r>
      <w:r>
        <w:rPr>
          <w:rFonts w:hint="eastAsia" w:ascii="仿宋_GB2312" w:hAnsi="仿宋_GB2312" w:eastAsia="仿宋_GB2312" w:cs="仿宋_GB2312"/>
          <w:snapToGrid/>
          <w:kern w:val="2"/>
          <w:highlight w:val="none"/>
        </w:rPr>
        <w:t>火场清理看守</w:t>
      </w:r>
      <w:r>
        <w:tab/>
      </w:r>
      <w:r>
        <w:fldChar w:fldCharType="begin"/>
      </w:r>
      <w:r>
        <w:instrText xml:space="preserve"> PAGEREF _Toc6103 \h </w:instrText>
      </w:r>
      <w:r>
        <w:fldChar w:fldCharType="separate"/>
      </w:r>
      <w:r>
        <w:t>21</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_Toc18714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6</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2</w:t>
      </w:r>
      <w:r>
        <w:rPr>
          <w:rFonts w:hint="eastAsia" w:ascii="楷体_GB2312" w:hAnsi="楷体_GB2312" w:eastAsia="楷体_GB2312" w:cs="楷体_GB2312"/>
          <w:snapToGrid/>
          <w:kern w:val="2"/>
          <w:highlight w:val="none"/>
        </w:rPr>
        <w:t>应急响应</w:t>
      </w:r>
      <w:r>
        <w:tab/>
      </w:r>
      <w:r>
        <w:fldChar w:fldCharType="begin"/>
      </w:r>
      <w:r>
        <w:instrText xml:space="preserve"> PAGEREF _Toc18714 \h </w:instrText>
      </w:r>
      <w:r>
        <w:fldChar w:fldCharType="separate"/>
      </w:r>
      <w:r>
        <w:t>22</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_Toc8476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1</w:t>
      </w:r>
      <w:r>
        <w:rPr>
          <w:rFonts w:hint="eastAsia" w:ascii="仿宋_GB2312" w:hAnsi="仿宋_GB2312" w:eastAsia="仿宋_GB2312" w:cs="仿宋_GB2312"/>
          <w:snapToGrid/>
          <w:kern w:val="2"/>
          <w:highlight w:val="none"/>
        </w:rPr>
        <w:t>先期处置</w:t>
      </w:r>
      <w:r>
        <w:tab/>
      </w:r>
      <w:r>
        <w:fldChar w:fldCharType="begin"/>
      </w:r>
      <w:r>
        <w:instrText xml:space="preserve"> PAGEREF _Toc8476 \h </w:instrText>
      </w:r>
      <w:r>
        <w:fldChar w:fldCharType="separate"/>
      </w:r>
      <w:r>
        <w:t>22</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_Toc744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Ⅳ级应急响应</w:t>
      </w:r>
      <w:r>
        <w:tab/>
      </w:r>
      <w:r>
        <w:fldChar w:fldCharType="begin"/>
      </w:r>
      <w:r>
        <w:instrText xml:space="preserve"> PAGEREF _Toc744 \h </w:instrText>
      </w:r>
      <w:r>
        <w:fldChar w:fldCharType="separate"/>
      </w:r>
      <w:r>
        <w:t>22</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_Toc22649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3</w:t>
      </w:r>
      <w:r>
        <w:rPr>
          <w:rFonts w:hint="eastAsia" w:ascii="仿宋_GB2312" w:hAnsi="仿宋_GB2312" w:eastAsia="仿宋_GB2312" w:cs="仿宋_GB2312"/>
          <w:snapToGrid/>
          <w:kern w:val="2"/>
          <w:highlight w:val="none"/>
        </w:rPr>
        <w:t>Ⅲ级应急响应</w:t>
      </w:r>
      <w:r>
        <w:tab/>
      </w:r>
      <w:r>
        <w:fldChar w:fldCharType="begin"/>
      </w:r>
      <w:r>
        <w:instrText xml:space="preserve"> PAGEREF _Toc22649 \h </w:instrText>
      </w:r>
      <w:r>
        <w:fldChar w:fldCharType="separate"/>
      </w:r>
      <w:r>
        <w:t>24</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_Toc32150 </w:instrText>
      </w:r>
      <w:r>
        <w:rPr>
          <w:rFonts w:ascii="黑体" w:hAnsi="宋体" w:eastAsia="黑体"/>
          <w:bCs/>
          <w:snapToGrid/>
          <w:kern w:val="2"/>
          <w:szCs w:val="36"/>
          <w:highlight w:val="none"/>
        </w:rPr>
        <w:fldChar w:fldCharType="separate"/>
      </w:r>
      <w:r>
        <w:rPr>
          <w:rFonts w:hint="eastAsia" w:ascii="仿宋_GB2312" w:hAnsi="仿宋_GB2312" w:eastAsia="仿宋_GB2312" w:cs="仿宋_GB2312"/>
          <w:snapToGrid/>
          <w:kern w:val="2"/>
          <w:highlight w:val="none"/>
          <w:lang w:val="en-US" w:eastAsia="zh-CN"/>
        </w:rPr>
        <w:t>特殊情形应急响应</w:t>
      </w:r>
      <w:r>
        <w:tab/>
      </w:r>
      <w:r>
        <w:fldChar w:fldCharType="begin"/>
      </w:r>
      <w:r>
        <w:instrText xml:space="preserve"> PAGEREF _Toc32150 \h </w:instrText>
      </w:r>
      <w:r>
        <w:fldChar w:fldCharType="separate"/>
      </w:r>
      <w:r>
        <w:t>25</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_Toc29660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4</w:t>
      </w:r>
      <w:r>
        <w:rPr>
          <w:rFonts w:hint="eastAsia" w:ascii="仿宋_GB2312" w:hAnsi="仿宋_GB2312" w:eastAsia="仿宋_GB2312" w:cs="仿宋_GB2312"/>
          <w:snapToGrid/>
          <w:kern w:val="2"/>
          <w:highlight w:val="none"/>
        </w:rPr>
        <w:t>Ⅱ级</w:t>
      </w:r>
      <w:r>
        <w:rPr>
          <w:rFonts w:hint="eastAsia" w:ascii="仿宋_GB2312" w:hAnsi="仿宋_GB2312" w:eastAsia="仿宋_GB2312" w:cs="仿宋_GB2312"/>
          <w:snapToGrid/>
          <w:kern w:val="2"/>
          <w:highlight w:val="none"/>
          <w:lang w:eastAsia="zh-CN"/>
        </w:rPr>
        <w:t>应急</w:t>
      </w:r>
      <w:r>
        <w:rPr>
          <w:rFonts w:hint="eastAsia" w:ascii="仿宋_GB2312" w:hAnsi="仿宋_GB2312" w:eastAsia="仿宋_GB2312" w:cs="仿宋_GB2312"/>
          <w:snapToGrid/>
          <w:kern w:val="2"/>
          <w:highlight w:val="none"/>
        </w:rPr>
        <w:t>响应</w:t>
      </w:r>
      <w:r>
        <w:tab/>
      </w:r>
      <w:r>
        <w:fldChar w:fldCharType="begin"/>
      </w:r>
      <w:r>
        <w:instrText xml:space="preserve"> PAGEREF _Toc29660 \h </w:instrText>
      </w:r>
      <w:r>
        <w:fldChar w:fldCharType="separate"/>
      </w:r>
      <w:r>
        <w:t>25</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_Toc14369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5</w:t>
      </w:r>
      <w:r>
        <w:rPr>
          <w:rFonts w:hint="eastAsia" w:ascii="仿宋_GB2312" w:hAnsi="仿宋_GB2312" w:eastAsia="仿宋_GB2312" w:cs="仿宋_GB2312"/>
          <w:snapToGrid/>
          <w:kern w:val="2"/>
          <w:highlight w:val="none"/>
        </w:rPr>
        <w:t>Ⅰ级</w:t>
      </w:r>
      <w:r>
        <w:rPr>
          <w:rFonts w:hint="eastAsia" w:ascii="仿宋_GB2312" w:hAnsi="仿宋_GB2312" w:eastAsia="仿宋_GB2312" w:cs="仿宋_GB2312"/>
          <w:snapToGrid/>
          <w:kern w:val="2"/>
          <w:highlight w:val="none"/>
          <w:lang w:eastAsia="zh-CN"/>
        </w:rPr>
        <w:t>应急</w:t>
      </w:r>
      <w:r>
        <w:rPr>
          <w:rFonts w:hint="eastAsia" w:ascii="仿宋_GB2312" w:hAnsi="仿宋_GB2312" w:eastAsia="仿宋_GB2312" w:cs="仿宋_GB2312"/>
          <w:snapToGrid/>
          <w:kern w:val="2"/>
          <w:highlight w:val="none"/>
        </w:rPr>
        <w:t>响应</w:t>
      </w:r>
      <w:r>
        <w:tab/>
      </w:r>
      <w:r>
        <w:fldChar w:fldCharType="begin"/>
      </w:r>
      <w:r>
        <w:instrText xml:space="preserve"> PAGEREF _Toc14369 \h </w:instrText>
      </w:r>
      <w:r>
        <w:fldChar w:fldCharType="separate"/>
      </w:r>
      <w:r>
        <w:t>26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_Toc6227 </w:instrText>
      </w:r>
      <w:r>
        <w:rPr>
          <w:rFonts w:ascii="黑体" w:hAnsi="宋体" w:eastAsia="黑体"/>
          <w:bCs/>
          <w:snapToGrid/>
          <w:kern w:val="2"/>
          <w:szCs w:val="36"/>
          <w:highlight w:val="none"/>
        </w:rPr>
        <w:fldChar w:fldCharType="separate"/>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2</w:t>
      </w:r>
      <w:r>
        <w:rPr>
          <w:rFonts w:hint="eastAsia" w:ascii="仿宋_GB2312" w:hAnsi="仿宋_GB2312" w:eastAsia="仿宋_GB2312" w:cs="仿宋_GB2312"/>
          <w:snapToGrid/>
          <w:kern w:val="2"/>
          <w:highlight w:val="none"/>
        </w:rPr>
        <w:t>.</w:t>
      </w:r>
      <w:r>
        <w:rPr>
          <w:rFonts w:hint="eastAsia" w:ascii="Times New Roman" w:hAnsi="Times New Roman" w:eastAsia="仿宋_GB2312" w:cs="仿宋_GB2312"/>
          <w:snapToGrid/>
          <w:kern w:val="2"/>
          <w:highlight w:val="none"/>
        </w:rPr>
        <w:t>6</w:t>
      </w:r>
      <w:r>
        <w:rPr>
          <w:rFonts w:hint="eastAsia" w:ascii="仿宋_GB2312" w:hAnsi="仿宋_GB2312" w:eastAsia="仿宋_GB2312" w:cs="仿宋_GB2312"/>
          <w:snapToGrid/>
          <w:kern w:val="2"/>
          <w:highlight w:val="none"/>
        </w:rPr>
        <w:t>启动条件调整</w:t>
      </w:r>
      <w:r>
        <w:tab/>
      </w:r>
      <w:r>
        <w:fldChar w:fldCharType="begin"/>
      </w:r>
      <w:r>
        <w:instrText xml:space="preserve"> PAGEREF _Toc6227 \h </w:instrText>
      </w:r>
      <w:r>
        <w:fldChar w:fldCharType="separate"/>
      </w:r>
      <w:r>
        <w:t>26</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_Toc10154 </w:instrText>
      </w:r>
      <w:r>
        <w:rPr>
          <w:rFonts w:ascii="黑体" w:hAnsi="宋体" w:eastAsia="黑体"/>
          <w:bCs/>
          <w:snapToGrid/>
          <w:kern w:val="2"/>
          <w:szCs w:val="36"/>
          <w:highlight w:val="none"/>
        </w:rPr>
        <w:fldChar w:fldCharType="separate"/>
      </w:r>
      <w:r>
        <w:rPr>
          <w:rFonts w:hint="eastAsia" w:ascii="Times New Roman" w:hAnsi="Times New Roman" w:eastAsia="黑体" w:cs="黑体"/>
          <w:snapToGrid/>
          <w:kern w:val="2"/>
          <w:highlight w:val="none"/>
          <w:lang w:val="en-US" w:eastAsia="zh-CN"/>
        </w:rPr>
        <w:t>7</w:t>
      </w:r>
      <w:r>
        <w:rPr>
          <w:rFonts w:hint="eastAsia" w:ascii="黑体" w:hAnsi="黑体" w:eastAsia="黑体" w:cs="黑体"/>
          <w:snapToGrid/>
          <w:kern w:val="2"/>
          <w:highlight w:val="none"/>
          <w:lang w:val="en-US" w:eastAsia="zh-CN"/>
        </w:rPr>
        <w:t>.</w:t>
      </w:r>
      <w:r>
        <w:rPr>
          <w:rFonts w:hint="eastAsia" w:ascii="黑体" w:hAnsi="黑体" w:eastAsia="黑体" w:cs="黑体"/>
          <w:snapToGrid/>
          <w:kern w:val="2"/>
          <w:highlight w:val="none"/>
        </w:rPr>
        <w:t>应急</w:t>
      </w:r>
      <w:r>
        <w:rPr>
          <w:rFonts w:hint="eastAsia" w:ascii="黑体" w:hAnsi="黑体" w:eastAsia="黑体" w:cs="黑体"/>
          <w:snapToGrid/>
          <w:kern w:val="2"/>
          <w:highlight w:val="none"/>
          <w:lang w:eastAsia="zh-CN"/>
        </w:rPr>
        <w:t>响应终止</w:t>
      </w:r>
      <w:r>
        <w:tab/>
      </w:r>
      <w:r>
        <w:fldChar w:fldCharType="begin"/>
      </w:r>
      <w:r>
        <w:instrText xml:space="preserve"> PAGEREF _Toc10154 \h </w:instrText>
      </w:r>
      <w:r>
        <w:fldChar w:fldCharType="separate"/>
      </w:r>
      <w:r>
        <w:t>26</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_Toc1295 </w:instrText>
      </w:r>
      <w:r>
        <w:rPr>
          <w:rFonts w:ascii="黑体" w:hAnsi="宋体" w:eastAsia="黑体"/>
          <w:bCs/>
          <w:snapToGrid/>
          <w:kern w:val="2"/>
          <w:szCs w:val="36"/>
          <w:highlight w:val="none"/>
        </w:rPr>
        <w:fldChar w:fldCharType="separate"/>
      </w:r>
      <w:r>
        <w:rPr>
          <w:rFonts w:hint="eastAsia" w:ascii="Times New Roman" w:hAnsi="Times New Roman" w:eastAsia="黑体" w:cs="黑体"/>
          <w:snapToGrid/>
          <w:kern w:val="2"/>
          <w:highlight w:val="none"/>
          <w:lang w:val="en-US" w:eastAsia="zh-CN"/>
        </w:rPr>
        <w:t>8</w:t>
      </w:r>
      <w:r>
        <w:rPr>
          <w:rFonts w:hint="eastAsia" w:ascii="黑体" w:hAnsi="黑体" w:eastAsia="黑体" w:cs="黑体"/>
          <w:snapToGrid/>
          <w:kern w:val="2"/>
          <w:highlight w:val="none"/>
          <w:lang w:val="en-US" w:eastAsia="zh-CN"/>
        </w:rPr>
        <w:t>.</w:t>
      </w:r>
      <w:r>
        <w:rPr>
          <w:rFonts w:hint="eastAsia" w:ascii="黑体" w:hAnsi="黑体" w:eastAsia="黑体" w:cs="黑体"/>
          <w:snapToGrid/>
          <w:kern w:val="2"/>
          <w:highlight w:val="none"/>
        </w:rPr>
        <w:t>保障措施</w:t>
      </w:r>
      <w:r>
        <w:tab/>
      </w:r>
      <w:r>
        <w:fldChar w:fldCharType="begin"/>
      </w:r>
      <w:r>
        <w:instrText xml:space="preserve"> PAGEREF _Toc1295 \h </w:instrText>
      </w:r>
      <w:r>
        <w:fldChar w:fldCharType="separate"/>
      </w:r>
      <w:r>
        <w:t>26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_Toc14614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8</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1</w:t>
      </w:r>
      <w:r>
        <w:rPr>
          <w:rFonts w:hint="eastAsia" w:ascii="楷体_GB2312" w:hAnsi="楷体_GB2312" w:eastAsia="楷体_GB2312" w:cs="楷体_GB2312"/>
          <w:snapToGrid/>
          <w:kern w:val="2"/>
          <w:highlight w:val="none"/>
        </w:rPr>
        <w:t>队伍保障</w:t>
      </w:r>
      <w:r>
        <w:tab/>
      </w:r>
      <w:r>
        <w:fldChar w:fldCharType="begin"/>
      </w:r>
      <w:r>
        <w:instrText xml:space="preserve"> PAGEREF _Toc14614 \h </w:instrText>
      </w:r>
      <w:r>
        <w:fldChar w:fldCharType="separate"/>
      </w:r>
      <w:r>
        <w:t>26</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_Toc11537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8</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2</w:t>
      </w:r>
      <w:r>
        <w:rPr>
          <w:rFonts w:hint="eastAsia" w:ascii="楷体_GB2312" w:hAnsi="楷体_GB2312" w:eastAsia="楷体_GB2312" w:cs="楷体_GB2312"/>
          <w:snapToGrid/>
          <w:kern w:val="2"/>
          <w:highlight w:val="none"/>
        </w:rPr>
        <w:t>物资保障</w:t>
      </w:r>
      <w:r>
        <w:tab/>
      </w:r>
      <w:r>
        <w:fldChar w:fldCharType="begin"/>
      </w:r>
      <w:r>
        <w:instrText xml:space="preserve"> PAGEREF _Toc11537 \h </w:instrText>
      </w:r>
      <w:r>
        <w:fldChar w:fldCharType="separate"/>
      </w:r>
      <w:r>
        <w:t>27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_Toc736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8</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3</w:t>
      </w:r>
      <w:r>
        <w:rPr>
          <w:rFonts w:hint="eastAsia" w:ascii="楷体_GB2312" w:hAnsi="楷体_GB2312" w:eastAsia="楷体_GB2312" w:cs="楷体_GB2312"/>
          <w:snapToGrid/>
          <w:kern w:val="2"/>
          <w:highlight w:val="none"/>
        </w:rPr>
        <w:t>经费保障</w:t>
      </w:r>
      <w:r>
        <w:tab/>
      </w:r>
      <w:r>
        <w:fldChar w:fldCharType="begin"/>
      </w:r>
      <w:r>
        <w:instrText xml:space="preserve"> PAGEREF _Toc736 \h </w:instrText>
      </w:r>
      <w:r>
        <w:fldChar w:fldCharType="separate"/>
      </w:r>
      <w:r>
        <w:t>27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_Toc1631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8</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4</w:t>
      </w:r>
      <w:r>
        <w:rPr>
          <w:rFonts w:hint="eastAsia" w:ascii="楷体_GB2312" w:hAnsi="楷体_GB2312" w:eastAsia="楷体_GB2312" w:cs="楷体_GB2312"/>
          <w:snapToGrid/>
          <w:kern w:val="2"/>
          <w:highlight w:val="none"/>
        </w:rPr>
        <w:t>通信保障</w:t>
      </w:r>
      <w:r>
        <w:tab/>
      </w:r>
      <w:r>
        <w:fldChar w:fldCharType="begin"/>
      </w:r>
      <w:r>
        <w:instrText xml:space="preserve"> PAGEREF _Toc1631 \h </w:instrText>
      </w:r>
      <w:r>
        <w:fldChar w:fldCharType="separate"/>
      </w:r>
      <w:r>
        <w:t>27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_Toc24203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8</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5</w:t>
      </w:r>
      <w:r>
        <w:rPr>
          <w:rFonts w:hint="eastAsia" w:ascii="楷体_GB2312" w:hAnsi="楷体_GB2312" w:eastAsia="楷体_GB2312" w:cs="楷体_GB2312"/>
          <w:snapToGrid/>
          <w:kern w:val="2"/>
          <w:highlight w:val="none"/>
        </w:rPr>
        <w:t>技术保障</w:t>
      </w:r>
      <w:r>
        <w:tab/>
      </w:r>
      <w:r>
        <w:fldChar w:fldCharType="begin"/>
      </w:r>
      <w:r>
        <w:instrText xml:space="preserve"> PAGEREF _Toc24203 \h </w:instrText>
      </w:r>
      <w:r>
        <w:fldChar w:fldCharType="separate"/>
      </w:r>
      <w:r>
        <w:t>27</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_Toc6593 </w:instrText>
      </w:r>
      <w:r>
        <w:rPr>
          <w:rFonts w:ascii="黑体" w:hAnsi="宋体" w:eastAsia="黑体"/>
          <w:bCs/>
          <w:snapToGrid/>
          <w:kern w:val="2"/>
          <w:szCs w:val="36"/>
          <w:highlight w:val="none"/>
        </w:rPr>
        <w:fldChar w:fldCharType="separate"/>
      </w:r>
      <w:r>
        <w:rPr>
          <w:rFonts w:hint="eastAsia" w:ascii="Times New Roman" w:hAnsi="Times New Roman" w:eastAsia="黑体" w:cs="黑体"/>
          <w:snapToGrid/>
          <w:kern w:val="2"/>
          <w:highlight w:val="none"/>
          <w:lang w:val="en-US" w:eastAsia="zh-CN"/>
        </w:rPr>
        <w:t>9</w:t>
      </w:r>
      <w:r>
        <w:rPr>
          <w:rFonts w:hint="eastAsia" w:ascii="黑体" w:hAnsi="黑体" w:eastAsia="黑体" w:cs="黑体"/>
          <w:snapToGrid/>
          <w:kern w:val="2"/>
          <w:highlight w:val="none"/>
          <w:lang w:val="en-US" w:eastAsia="zh-CN"/>
        </w:rPr>
        <w:t>.</w:t>
      </w:r>
      <w:r>
        <w:rPr>
          <w:rFonts w:hint="eastAsia" w:ascii="黑体" w:hAnsi="黑体" w:eastAsia="黑体" w:cs="黑体"/>
          <w:snapToGrid/>
          <w:kern w:val="2"/>
          <w:highlight w:val="none"/>
        </w:rPr>
        <w:t>后期处置</w:t>
      </w:r>
      <w:r>
        <w:tab/>
      </w:r>
      <w:r>
        <w:fldChar w:fldCharType="begin"/>
      </w:r>
      <w:r>
        <w:instrText xml:space="preserve"> PAGEREF _Toc6593 \h </w:instrText>
      </w:r>
      <w:r>
        <w:fldChar w:fldCharType="separate"/>
      </w:r>
      <w:r>
        <w:t>27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_Toc6625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9</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1</w:t>
      </w:r>
      <w:r>
        <w:rPr>
          <w:rFonts w:hint="eastAsia" w:ascii="楷体_GB2312" w:hAnsi="楷体_GB2312" w:eastAsia="楷体_GB2312" w:cs="楷体_GB2312"/>
          <w:snapToGrid/>
          <w:kern w:val="2"/>
          <w:highlight w:val="none"/>
        </w:rPr>
        <w:t>火灾调查</w:t>
      </w:r>
      <w:r>
        <w:tab/>
      </w:r>
      <w:r>
        <w:fldChar w:fldCharType="begin"/>
      </w:r>
      <w:r>
        <w:instrText xml:space="preserve"> PAGEREF _Toc6625 \h </w:instrText>
      </w:r>
      <w:r>
        <w:fldChar w:fldCharType="separate"/>
      </w:r>
      <w:r>
        <w:t>27</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_Toc19823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9</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2</w:t>
      </w:r>
      <w:r>
        <w:rPr>
          <w:rFonts w:hint="eastAsia" w:ascii="楷体_GB2312" w:hAnsi="楷体_GB2312" w:eastAsia="楷体_GB2312" w:cs="楷体_GB2312"/>
          <w:snapToGrid/>
          <w:kern w:val="2"/>
          <w:highlight w:val="none"/>
        </w:rPr>
        <w:t>案件查处</w:t>
      </w:r>
      <w:r>
        <w:tab/>
      </w:r>
      <w:r>
        <w:fldChar w:fldCharType="begin"/>
      </w:r>
      <w:r>
        <w:instrText xml:space="preserve"> PAGEREF _Toc19823 \h </w:instrText>
      </w:r>
      <w:r>
        <w:fldChar w:fldCharType="separate"/>
      </w:r>
      <w:r>
        <w:t>28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_Toc10811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rPr>
        <w:t>9</w:t>
      </w:r>
      <w:r>
        <w:rPr>
          <w:rFonts w:hint="eastAsia" w:ascii="楷体_GB2312" w:hAnsi="楷体_GB2312" w:eastAsia="楷体_GB2312" w:cs="楷体_GB2312"/>
          <w:snapToGrid/>
          <w:kern w:val="2"/>
          <w:highlight w:val="none"/>
        </w:rPr>
        <w:t>.</w:t>
      </w:r>
      <w:r>
        <w:rPr>
          <w:rFonts w:hint="eastAsia" w:ascii="Times New Roman" w:hAnsi="Times New Roman" w:eastAsia="楷体_GB2312" w:cs="楷体_GB2312"/>
          <w:snapToGrid/>
          <w:kern w:val="2"/>
          <w:highlight w:val="none"/>
        </w:rPr>
        <w:t>3</w:t>
      </w:r>
      <w:r>
        <w:rPr>
          <w:rFonts w:hint="eastAsia" w:ascii="楷体_GB2312" w:hAnsi="楷体_GB2312" w:eastAsia="楷体_GB2312" w:cs="楷体_GB2312"/>
          <w:snapToGrid/>
          <w:kern w:val="2"/>
          <w:highlight w:val="none"/>
        </w:rPr>
        <w:t>事故善后</w:t>
      </w:r>
      <w:r>
        <w:tab/>
      </w:r>
      <w:r>
        <w:fldChar w:fldCharType="begin"/>
      </w:r>
      <w:r>
        <w:instrText xml:space="preserve"> PAGEREF _Toc10811 \h </w:instrText>
      </w:r>
      <w:r>
        <w:fldChar w:fldCharType="separate"/>
      </w:r>
      <w:r>
        <w:t>28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_Toc31601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9</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4</w:t>
      </w:r>
      <w:r>
        <w:rPr>
          <w:rFonts w:hint="eastAsia" w:ascii="楷体_GB2312" w:hAnsi="楷体_GB2312" w:eastAsia="楷体_GB2312" w:cs="楷体_GB2312"/>
          <w:snapToGrid/>
          <w:kern w:val="2"/>
          <w:highlight w:val="none"/>
        </w:rPr>
        <w:t>工作总结</w:t>
      </w:r>
      <w:r>
        <w:tab/>
      </w:r>
      <w:r>
        <w:fldChar w:fldCharType="begin"/>
      </w:r>
      <w:r>
        <w:instrText xml:space="preserve"> PAGEREF _Toc31601 \h </w:instrText>
      </w:r>
      <w:r>
        <w:fldChar w:fldCharType="separate"/>
      </w:r>
      <w:r>
        <w:t>28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_Toc5882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9</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5</w:t>
      </w:r>
      <w:r>
        <w:rPr>
          <w:rFonts w:hint="eastAsia" w:ascii="楷体_GB2312" w:hAnsi="楷体_GB2312" w:eastAsia="楷体_GB2312" w:cs="楷体_GB2312"/>
          <w:snapToGrid/>
          <w:kern w:val="2"/>
          <w:highlight w:val="none"/>
        </w:rPr>
        <w:t>灾后恢复</w:t>
      </w:r>
      <w:r>
        <w:tab/>
      </w:r>
      <w:r>
        <w:fldChar w:fldCharType="begin"/>
      </w:r>
      <w:r>
        <w:instrText xml:space="preserve"> PAGEREF _Toc5882 \h </w:instrText>
      </w:r>
      <w:r>
        <w:fldChar w:fldCharType="separate"/>
      </w:r>
      <w:r>
        <w:t>28</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_Toc24143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9</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6</w:t>
      </w:r>
      <w:r>
        <w:rPr>
          <w:rFonts w:hint="eastAsia" w:ascii="楷体_GB2312" w:hAnsi="楷体_GB2312" w:eastAsia="楷体_GB2312" w:cs="楷体_GB2312"/>
          <w:snapToGrid/>
          <w:kern w:val="2"/>
          <w:highlight w:val="none"/>
        </w:rPr>
        <w:t>奖惩追责</w:t>
      </w:r>
      <w:r>
        <w:tab/>
      </w:r>
      <w:r>
        <w:fldChar w:fldCharType="begin"/>
      </w:r>
      <w:r>
        <w:instrText xml:space="preserve"> PAGEREF _Toc24143 \h </w:instrText>
      </w:r>
      <w:r>
        <w:fldChar w:fldCharType="separate"/>
      </w:r>
      <w:r>
        <w:t>29</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_Toc9267 </w:instrText>
      </w:r>
      <w:r>
        <w:rPr>
          <w:rFonts w:ascii="黑体" w:hAnsi="宋体" w:eastAsia="黑体"/>
          <w:bCs/>
          <w:snapToGrid/>
          <w:kern w:val="2"/>
          <w:szCs w:val="36"/>
          <w:highlight w:val="none"/>
        </w:rPr>
        <w:fldChar w:fldCharType="separate"/>
      </w:r>
      <w:r>
        <w:rPr>
          <w:rFonts w:hint="eastAsia" w:ascii="Times New Roman" w:hAnsi="Times New Roman" w:eastAsia="黑体" w:cs="黑体"/>
          <w:snapToGrid/>
          <w:kern w:val="2"/>
          <w:highlight w:val="none"/>
          <w:lang w:val="en-US" w:eastAsia="zh-CN"/>
        </w:rPr>
        <w:t>10</w:t>
      </w:r>
      <w:r>
        <w:rPr>
          <w:rFonts w:hint="eastAsia" w:ascii="黑体" w:hAnsi="黑体" w:eastAsia="黑体" w:cs="黑体"/>
          <w:snapToGrid/>
          <w:kern w:val="2"/>
          <w:highlight w:val="none"/>
          <w:lang w:val="en-US" w:eastAsia="zh-CN"/>
        </w:rPr>
        <w:t>.</w:t>
      </w:r>
      <w:r>
        <w:rPr>
          <w:rFonts w:hint="eastAsia" w:ascii="黑体" w:hAnsi="黑体" w:eastAsia="黑体" w:cs="黑体"/>
          <w:snapToGrid/>
          <w:kern w:val="2"/>
          <w:highlight w:val="none"/>
        </w:rPr>
        <w:t>预案管理</w:t>
      </w:r>
      <w:r>
        <w:tab/>
      </w:r>
      <w:r>
        <w:fldChar w:fldCharType="begin"/>
      </w:r>
      <w:r>
        <w:instrText xml:space="preserve"> PAGEREF _Toc9267 \h </w:instrText>
      </w:r>
      <w:r>
        <w:fldChar w:fldCharType="separate"/>
      </w:r>
      <w:r>
        <w:t>29</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_Toc459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10</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1</w:t>
      </w:r>
      <w:r>
        <w:rPr>
          <w:rFonts w:hint="eastAsia" w:ascii="楷体_GB2312" w:hAnsi="楷体_GB2312" w:eastAsia="楷体_GB2312" w:cs="楷体_GB2312"/>
          <w:snapToGrid/>
          <w:kern w:val="2"/>
          <w:highlight w:val="none"/>
        </w:rPr>
        <w:t>预案演练</w:t>
      </w:r>
      <w:r>
        <w:tab/>
      </w:r>
      <w:r>
        <w:fldChar w:fldCharType="begin"/>
      </w:r>
      <w:r>
        <w:instrText xml:space="preserve"> PAGEREF _Toc459 \h </w:instrText>
      </w:r>
      <w:r>
        <w:fldChar w:fldCharType="separate"/>
      </w:r>
      <w:r>
        <w:t>29</w:t>
      </w:r>
      <w:r>
        <w:fldChar w:fldCharType="end"/>
      </w:r>
      <w:r>
        <w:rPr>
          <w:rFonts w:ascii="黑体" w:hAnsi="宋体" w:eastAsia="黑体"/>
          <w:bCs/>
          <w:snapToGrid/>
          <w:color w:val="auto"/>
          <w:kern w:val="2"/>
          <w:szCs w:val="36"/>
          <w:highlight w:val="none"/>
        </w:rPr>
        <w:fldChar w:fldCharType="end"/>
      </w:r>
    </w:p>
    <w:p>
      <w:pPr>
        <w:pStyle w:val="2"/>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_Toc4711 </w:instrText>
      </w:r>
      <w:r>
        <w:rPr>
          <w:rFonts w:ascii="黑体" w:hAnsi="宋体" w:eastAsia="黑体"/>
          <w:bCs/>
          <w:snapToGrid/>
          <w:kern w:val="2"/>
          <w:szCs w:val="36"/>
          <w:highlight w:val="none"/>
        </w:rPr>
        <w:fldChar w:fldCharType="separate"/>
      </w:r>
      <w:r>
        <w:rPr>
          <w:rFonts w:hint="eastAsia" w:ascii="Times New Roman" w:hAnsi="Times New Roman" w:eastAsia="楷体_GB2312" w:cs="楷体_GB2312"/>
          <w:snapToGrid/>
          <w:kern w:val="2"/>
          <w:highlight w:val="none"/>
          <w:lang w:val="en-US" w:eastAsia="zh-CN"/>
        </w:rPr>
        <w:t>10</w:t>
      </w:r>
      <w:r>
        <w:rPr>
          <w:rFonts w:hint="eastAsia" w:ascii="楷体_GB2312" w:hAnsi="楷体_GB2312" w:eastAsia="楷体_GB2312" w:cs="楷体_GB2312"/>
          <w:snapToGrid/>
          <w:kern w:val="2"/>
          <w:highlight w:val="none"/>
          <w:lang w:val="en-US" w:eastAsia="zh-CN"/>
        </w:rPr>
        <w:t>.</w:t>
      </w:r>
      <w:r>
        <w:rPr>
          <w:rFonts w:hint="eastAsia" w:ascii="Times New Roman" w:hAnsi="Times New Roman" w:eastAsia="楷体_GB2312" w:cs="楷体_GB2312"/>
          <w:snapToGrid/>
          <w:kern w:val="2"/>
          <w:highlight w:val="none"/>
          <w:lang w:val="en-US" w:eastAsia="zh-CN"/>
        </w:rPr>
        <w:t>2</w:t>
      </w:r>
      <w:r>
        <w:rPr>
          <w:rFonts w:hint="eastAsia" w:ascii="楷体_GB2312" w:hAnsi="楷体_GB2312" w:eastAsia="楷体_GB2312" w:cs="楷体_GB2312"/>
          <w:snapToGrid/>
          <w:kern w:val="2"/>
          <w:highlight w:val="none"/>
        </w:rPr>
        <w:t>预案更新</w:t>
      </w:r>
      <w:r>
        <w:tab/>
      </w:r>
      <w:r>
        <w:fldChar w:fldCharType="begin"/>
      </w:r>
      <w:r>
        <w:instrText xml:space="preserve"> PAGEREF _Toc4711 \h </w:instrText>
      </w:r>
      <w:r>
        <w:fldChar w:fldCharType="separate"/>
      </w:r>
      <w:r>
        <w:t>29</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_Toc32471 </w:instrText>
      </w:r>
      <w:r>
        <w:rPr>
          <w:rFonts w:ascii="黑体" w:hAnsi="宋体" w:eastAsia="黑体"/>
          <w:bCs/>
          <w:snapToGrid/>
          <w:kern w:val="2"/>
          <w:szCs w:val="36"/>
          <w:highlight w:val="none"/>
        </w:rPr>
        <w:fldChar w:fldCharType="separate"/>
      </w:r>
      <w:r>
        <w:rPr>
          <w:rFonts w:hint="eastAsia" w:ascii="Times New Roman" w:hAnsi="Times New Roman" w:eastAsia="黑体" w:cs="黑体"/>
          <w:snapToGrid/>
          <w:kern w:val="2"/>
          <w:highlight w:val="none"/>
          <w:lang w:val="en-US" w:eastAsia="zh-CN"/>
        </w:rPr>
        <w:t>11</w:t>
      </w:r>
      <w:r>
        <w:rPr>
          <w:rFonts w:hint="eastAsia" w:ascii="黑体" w:hAnsi="黑体" w:eastAsia="黑体" w:cs="黑体"/>
          <w:snapToGrid/>
          <w:kern w:val="2"/>
          <w:highlight w:val="none"/>
          <w:lang w:val="en-US" w:eastAsia="zh-CN"/>
        </w:rPr>
        <w:t>.</w:t>
      </w:r>
      <w:r>
        <w:rPr>
          <w:rFonts w:hint="eastAsia" w:ascii="黑体" w:hAnsi="黑体" w:eastAsia="黑体" w:cs="黑体"/>
          <w:snapToGrid/>
          <w:kern w:val="2"/>
          <w:highlight w:val="none"/>
        </w:rPr>
        <w:t>附则</w:t>
      </w:r>
      <w:r>
        <w:tab/>
      </w:r>
      <w:r>
        <w:fldChar w:fldCharType="begin"/>
      </w:r>
      <w:r>
        <w:instrText xml:space="preserve"> PAGEREF _Toc32471 \h </w:instrText>
      </w:r>
      <w:r>
        <w:fldChar w:fldCharType="separate"/>
      </w:r>
      <w:r>
        <w:t>29</w:t>
      </w:r>
      <w:r>
        <w:fldChar w:fldCharType="end"/>
      </w:r>
      <w:r>
        <w:rPr>
          <w:rFonts w:ascii="黑体" w:hAnsi="宋体" w:eastAsia="黑体"/>
          <w:bCs/>
          <w:snapToGrid/>
          <w:color w:val="auto"/>
          <w:kern w:val="2"/>
          <w:szCs w:val="36"/>
          <w:highlight w:val="none"/>
        </w:rPr>
        <w:fldChar w:fldCharType="end"/>
      </w:r>
    </w:p>
    <w:p>
      <w:pPr>
        <w:pStyle w:val="13"/>
        <w:keepNext w:val="0"/>
        <w:keepLines w:val="0"/>
        <w:pageBreakBefore w:val="0"/>
        <w:widowControl w:val="0"/>
        <w:tabs>
          <w:tab w:val="right" w:leader="dot" w:pos="8845"/>
          <w:tab w:val="clear" w:pos="8494"/>
        </w:tabs>
        <w:kinsoku/>
        <w:wordWrap/>
        <w:overflowPunct/>
        <w:topLinePunct w:val="0"/>
        <w:autoSpaceDE/>
        <w:autoSpaceDN/>
        <w:bidi w:val="0"/>
        <w:adjustRightInd/>
        <w:snapToGrid/>
        <w:spacing w:line="570" w:lineRule="exact"/>
        <w:textAlignment w:val="auto"/>
      </w:pPr>
      <w:r>
        <w:rPr>
          <w:rFonts w:ascii="黑体" w:hAnsi="宋体" w:eastAsia="黑体"/>
          <w:bCs/>
          <w:snapToGrid/>
          <w:color w:val="auto"/>
          <w:kern w:val="2"/>
          <w:szCs w:val="36"/>
          <w:highlight w:val="none"/>
        </w:rPr>
        <w:fldChar w:fldCharType="begin"/>
      </w:r>
      <w:r>
        <w:rPr>
          <w:rFonts w:ascii="黑体" w:hAnsi="宋体" w:eastAsia="黑体"/>
          <w:bCs/>
          <w:snapToGrid/>
          <w:kern w:val="2"/>
          <w:szCs w:val="36"/>
          <w:highlight w:val="none"/>
        </w:rPr>
        <w:instrText xml:space="preserve"> HYPERLINK \l _Toc20329 </w:instrText>
      </w:r>
      <w:r>
        <w:rPr>
          <w:rFonts w:ascii="黑体" w:hAnsi="宋体" w:eastAsia="黑体"/>
          <w:bCs/>
          <w:snapToGrid/>
          <w:kern w:val="2"/>
          <w:szCs w:val="36"/>
          <w:highlight w:val="none"/>
        </w:rPr>
        <w:fldChar w:fldCharType="separate"/>
      </w:r>
      <w:r>
        <w:rPr>
          <w:rFonts w:hint="eastAsia" w:ascii="Times New Roman" w:hAnsi="Times New Roman" w:eastAsia="黑体"/>
          <w:snapToGrid/>
          <w:kern w:val="2"/>
          <w:highlight w:val="none"/>
          <w:lang w:val="en-US" w:eastAsia="zh-CN"/>
        </w:rPr>
        <w:t>12</w:t>
      </w:r>
      <w:r>
        <w:rPr>
          <w:rFonts w:hint="eastAsia" w:ascii="黑体" w:hAnsi="黑体" w:eastAsia="黑体"/>
          <w:snapToGrid/>
          <w:kern w:val="2"/>
          <w:highlight w:val="none"/>
          <w:lang w:val="en-US" w:eastAsia="zh-CN"/>
        </w:rPr>
        <w:t>.</w:t>
      </w:r>
      <w:r>
        <w:rPr>
          <w:rFonts w:hint="eastAsia" w:ascii="黑体" w:hAnsi="黑体" w:eastAsia="黑体"/>
          <w:snapToGrid/>
          <w:kern w:val="2"/>
          <w:highlight w:val="none"/>
        </w:rPr>
        <w:t>附件</w:t>
      </w:r>
      <w:r>
        <w:tab/>
      </w:r>
      <w:r>
        <w:fldChar w:fldCharType="begin"/>
      </w:r>
      <w:r>
        <w:instrText xml:space="preserve"> PAGEREF _Toc20329 \h </w:instrText>
      </w:r>
      <w:r>
        <w:fldChar w:fldCharType="separate"/>
      </w:r>
      <w:r>
        <w:t>29</w:t>
      </w:r>
      <w:r>
        <w:fldChar w:fldCharType="end"/>
      </w:r>
      <w:r>
        <w:rPr>
          <w:rFonts w:ascii="黑体" w:hAnsi="宋体" w:eastAsia="黑体"/>
          <w:bCs/>
          <w:snapToGrid/>
          <w:color w:val="auto"/>
          <w:kern w:val="2"/>
          <w:szCs w:val="36"/>
          <w:highlight w:val="none"/>
        </w:rPr>
        <w:fldChar w:fldCharType="end"/>
      </w: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r>
        <w:rPr>
          <w:rFonts w:ascii="黑体" w:hAnsi="宋体" w:eastAsia="黑体"/>
          <w:bCs/>
          <w:snapToGrid/>
          <w:color w:val="auto"/>
          <w:kern w:val="2"/>
          <w:szCs w:val="36"/>
          <w:highlight w:val="none"/>
        </w:rPr>
        <w:fldChar w:fldCharType="end"/>
      </w: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20" w:firstLineChars="196"/>
        <w:textAlignment w:val="auto"/>
        <w:rPr>
          <w:rFonts w:ascii="黑体" w:hAnsi="宋体" w:eastAsia="黑体"/>
          <w:bCs/>
          <w:snapToGrid/>
          <w:color w:val="auto"/>
          <w:kern w:val="2"/>
          <w:szCs w:val="36"/>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0"/>
        <w:rPr>
          <w:rFonts w:hint="eastAsia" w:ascii="黑体" w:hAnsi="黑体" w:eastAsia="黑体" w:cs="黑体"/>
          <w:b w:val="0"/>
          <w:bCs/>
          <w:snapToGrid/>
          <w:color w:val="auto"/>
          <w:kern w:val="2"/>
          <w:highlight w:val="none"/>
        </w:rPr>
      </w:pPr>
      <w:bookmarkStart w:id="3" w:name="_Toc2755"/>
      <w:bookmarkStart w:id="4" w:name="_Toc21526"/>
      <w:bookmarkStart w:id="5" w:name="_Toc22513"/>
      <w:bookmarkStart w:id="6" w:name="_Toc2040"/>
      <w:r>
        <w:rPr>
          <w:rFonts w:hint="eastAsia" w:ascii="Times New Roman" w:hAnsi="Times New Roman" w:eastAsia="黑体" w:cs="黑体"/>
          <w:b w:val="0"/>
          <w:bCs/>
          <w:snapToGrid/>
          <w:color w:val="auto"/>
          <w:kern w:val="2"/>
          <w:highlight w:val="none"/>
        </w:rPr>
        <w:t>1</w:t>
      </w:r>
      <w:r>
        <w:rPr>
          <w:rFonts w:hint="eastAsia" w:ascii="黑体" w:hAnsi="黑体" w:eastAsia="黑体" w:cs="黑体"/>
          <w:b w:val="0"/>
          <w:bCs/>
          <w:snapToGrid/>
          <w:color w:val="auto"/>
          <w:kern w:val="2"/>
          <w:highlight w:val="none"/>
        </w:rPr>
        <w:t>.总则</w:t>
      </w:r>
      <w:bookmarkEnd w:id="0"/>
      <w:bookmarkEnd w:id="1"/>
      <w:bookmarkEnd w:id="2"/>
      <w:bookmarkEnd w:id="3"/>
      <w:bookmarkEnd w:id="4"/>
      <w:bookmarkEnd w:id="5"/>
      <w:bookmarkEnd w:id="6"/>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7" w:name="_Toc1248"/>
      <w:bookmarkStart w:id="8" w:name="_Toc28571"/>
      <w:bookmarkStart w:id="9" w:name="_Toc24247"/>
      <w:bookmarkStart w:id="10" w:name="_Toc973"/>
      <w:bookmarkStart w:id="11" w:name="_Toc262556042"/>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编制目的</w:t>
      </w:r>
      <w:bookmarkEnd w:id="7"/>
      <w:bookmarkEnd w:id="8"/>
      <w:bookmarkEnd w:id="9"/>
      <w:bookmarkEnd w:id="10"/>
      <w:bookmarkEnd w:id="11"/>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Cs/>
          <w:snapToGrid/>
          <w:color w:val="auto"/>
          <w:kern w:val="2"/>
          <w:sz w:val="32"/>
          <w:highlight w:val="none"/>
        </w:rPr>
      </w:pPr>
      <w:r>
        <w:rPr>
          <w:rFonts w:hint="eastAsia" w:ascii="仿宋_GB2312" w:hAnsi="仿宋_GB2312" w:eastAsia="仿宋_GB2312" w:cs="仿宋_GB2312"/>
          <w:bCs/>
          <w:snapToGrid/>
          <w:color w:val="auto"/>
          <w:kern w:val="2"/>
          <w:sz w:val="32"/>
          <w:highlight w:val="none"/>
        </w:rPr>
        <w:t>为深入贯彻习近平总书记关于防灾减灾救灾的重要论述和全面做好森林草原防灭火工作重要指示精神，认真落实中共中央办公厅、国务院办公厅印发《关于全面加强新形势下森林草原防灭火工作的意见》和省</w:t>
      </w:r>
      <w:r>
        <w:rPr>
          <w:rFonts w:hint="eastAsia" w:ascii="仿宋_GB2312" w:hAnsi="仿宋_GB2312" w:eastAsia="仿宋_GB2312" w:cs="仿宋_GB2312"/>
          <w:bCs/>
          <w:snapToGrid/>
          <w:color w:val="auto"/>
          <w:kern w:val="2"/>
          <w:sz w:val="32"/>
          <w:highlight w:val="none"/>
          <w:lang w:eastAsia="zh-CN"/>
        </w:rPr>
        <w:t>市</w:t>
      </w:r>
      <w:r>
        <w:rPr>
          <w:rFonts w:hint="eastAsia" w:ascii="仿宋_GB2312" w:hAnsi="仿宋_GB2312" w:eastAsia="仿宋_GB2312" w:cs="仿宋_GB2312"/>
          <w:bCs/>
          <w:snapToGrid/>
          <w:color w:val="auto"/>
          <w:kern w:val="2"/>
          <w:sz w:val="32"/>
          <w:highlight w:val="none"/>
        </w:rPr>
        <w:t>有关实施意见，坚持“预防为主、积极消灭</w:t>
      </w:r>
      <w:r>
        <w:rPr>
          <w:rFonts w:hint="eastAsia" w:ascii="仿宋_GB2312" w:hAnsi="仿宋_GB2312" w:eastAsia="仿宋_GB2312" w:cs="仿宋_GB2312"/>
          <w:bCs/>
          <w:snapToGrid/>
          <w:color w:val="auto"/>
          <w:kern w:val="2"/>
          <w:sz w:val="32"/>
          <w:highlight w:val="none"/>
          <w:lang w:eastAsia="zh-CN"/>
        </w:rPr>
        <w:t>、</w:t>
      </w:r>
      <w:r>
        <w:rPr>
          <w:rFonts w:hint="eastAsia" w:ascii="仿宋_GB2312" w:hAnsi="仿宋_GB2312" w:eastAsia="仿宋_GB2312" w:cs="仿宋_GB2312"/>
          <w:bCs/>
          <w:snapToGrid/>
          <w:color w:val="auto"/>
          <w:kern w:val="2"/>
          <w:sz w:val="32"/>
          <w:highlight w:val="none"/>
        </w:rPr>
        <w:t>生命至上、安全第一”工作方针，</w:t>
      </w:r>
      <w:r>
        <w:rPr>
          <w:rFonts w:hint="eastAsia" w:ascii="仿宋_GB2312" w:hAnsi="仿宋_GB2312" w:eastAsia="仿宋_GB2312" w:cs="仿宋_GB2312"/>
          <w:bCs/>
          <w:snapToGrid/>
          <w:color w:val="auto"/>
          <w:kern w:val="2"/>
          <w:sz w:val="32"/>
          <w:highlight w:val="none"/>
          <w:lang w:eastAsia="zh-CN"/>
        </w:rPr>
        <w:t>建立反应迅速、运转高效的森林火灾应急处置体系，</w:t>
      </w:r>
      <w:r>
        <w:rPr>
          <w:rFonts w:hint="eastAsia" w:ascii="仿宋_GB2312" w:hAnsi="仿宋_GB2312" w:eastAsia="仿宋_GB2312" w:cs="仿宋_GB2312"/>
          <w:bCs/>
          <w:snapToGrid/>
          <w:color w:val="auto"/>
          <w:kern w:val="2"/>
          <w:sz w:val="32"/>
          <w:highlight w:val="none"/>
        </w:rPr>
        <w:t>保障人民生命财产安全，保护森林资源，维护生态安全。</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12" w:name="_Toc22566"/>
      <w:bookmarkStart w:id="13" w:name="_Toc7003"/>
      <w:bookmarkStart w:id="14" w:name="_Toc9582"/>
      <w:bookmarkStart w:id="15" w:name="_Toc262556043"/>
      <w:bookmarkStart w:id="16" w:name="_Toc27034"/>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编制依据</w:t>
      </w:r>
      <w:bookmarkEnd w:id="12"/>
      <w:bookmarkEnd w:id="13"/>
      <w:bookmarkEnd w:id="14"/>
      <w:bookmarkEnd w:id="15"/>
      <w:bookmarkEnd w:id="16"/>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Cs/>
          <w:snapToGrid/>
          <w:color w:val="auto"/>
          <w:kern w:val="2"/>
          <w:sz w:val="32"/>
          <w:highlight w:val="none"/>
        </w:rPr>
      </w:pPr>
      <w:r>
        <w:rPr>
          <w:rFonts w:hint="eastAsia" w:ascii="仿宋_GB2312" w:hAnsi="仿宋_GB2312" w:eastAsia="仿宋_GB2312" w:cs="仿宋_GB2312"/>
          <w:bCs/>
          <w:snapToGrid/>
          <w:color w:val="auto"/>
          <w:kern w:val="2"/>
          <w:sz w:val="32"/>
          <w:highlight w:val="none"/>
        </w:rPr>
        <w:t>依据《中华人民共和国森林法》《中华人民共和国突发事件应对法》《森林防火条例》《中共中央办公厅</w:t>
      </w:r>
      <w:r>
        <w:rPr>
          <w:rFonts w:hint="eastAsia" w:ascii="仿宋_GB2312" w:hAnsi="仿宋_GB2312" w:eastAsia="仿宋_GB2312" w:cs="仿宋_GB2312"/>
          <w:bCs/>
          <w:snapToGrid/>
          <w:color w:val="auto"/>
          <w:kern w:val="2"/>
          <w:sz w:val="32"/>
          <w:highlight w:val="none"/>
          <w:lang w:val="en-US" w:eastAsia="zh-CN"/>
        </w:rPr>
        <w:t xml:space="preserve"> </w:t>
      </w:r>
      <w:r>
        <w:rPr>
          <w:rFonts w:hint="eastAsia" w:ascii="仿宋_GB2312" w:hAnsi="仿宋_GB2312" w:eastAsia="仿宋_GB2312" w:cs="仿宋_GB2312"/>
          <w:bCs/>
          <w:snapToGrid/>
          <w:color w:val="auto"/>
          <w:kern w:val="2"/>
          <w:sz w:val="32"/>
          <w:highlight w:val="none"/>
        </w:rPr>
        <w:t>国务院办公厅印发&lt;关于全面加强新形势下森林草原防灭火工作的意见&gt;》《国家森林草原火灾应急预案》《广东省突发事件应对条例》《广东省森林防火条例》《中共广东省委办公厅</w:t>
      </w:r>
      <w:r>
        <w:rPr>
          <w:rFonts w:hint="eastAsia" w:ascii="仿宋_GB2312" w:hAnsi="仿宋_GB2312" w:eastAsia="仿宋_GB2312" w:cs="仿宋_GB2312"/>
          <w:bCs/>
          <w:snapToGrid/>
          <w:color w:val="auto"/>
          <w:kern w:val="2"/>
          <w:sz w:val="32"/>
          <w:highlight w:val="none"/>
          <w:lang w:val="en-US" w:eastAsia="zh-CN"/>
        </w:rPr>
        <w:t xml:space="preserve"> </w:t>
      </w:r>
      <w:r>
        <w:rPr>
          <w:rFonts w:hint="eastAsia" w:ascii="仿宋_GB2312" w:hAnsi="仿宋_GB2312" w:eastAsia="仿宋_GB2312" w:cs="仿宋_GB2312"/>
          <w:bCs/>
          <w:snapToGrid/>
          <w:color w:val="auto"/>
          <w:kern w:val="2"/>
          <w:sz w:val="32"/>
          <w:highlight w:val="none"/>
        </w:rPr>
        <w:t>广东省人民政府办公厅印发&lt;关于全面加强新形势下森林防灭火工作的实施意见&gt;》《广东省森林火灾应急预案》《广东省森林火灾“四个一”应急处置机制工作指引》《广州市森林防火工作责任制实施细则》《</w:t>
      </w:r>
      <w:r>
        <w:rPr>
          <w:rFonts w:hint="eastAsia" w:ascii="仿宋_GB2312" w:hAnsi="仿宋_GB2312" w:eastAsia="仿宋_GB2312" w:cs="仿宋_GB2312"/>
          <w:bCs/>
          <w:snapToGrid/>
          <w:color w:val="auto"/>
          <w:kern w:val="2"/>
          <w:sz w:val="32"/>
          <w:highlight w:val="none"/>
          <w:lang w:eastAsia="zh-CN"/>
        </w:rPr>
        <w:t>广州市森林火灾应急预案</w:t>
      </w:r>
      <w:r>
        <w:rPr>
          <w:rFonts w:hint="eastAsia" w:ascii="仿宋_GB2312" w:hAnsi="仿宋_GB2312" w:eastAsia="仿宋_GB2312" w:cs="仿宋_GB2312"/>
          <w:snapToGrid/>
          <w:color w:val="auto"/>
          <w:kern w:val="2"/>
          <w:sz w:val="32"/>
          <w:szCs w:val="32"/>
          <w:highlight w:val="none"/>
        </w:rPr>
        <w:t>》</w:t>
      </w:r>
      <w:r>
        <w:rPr>
          <w:rFonts w:hint="eastAsia" w:ascii="仿宋_GB2312" w:hAnsi="仿宋_GB2312" w:eastAsia="仿宋_GB2312" w:cs="仿宋_GB2312"/>
          <w:bCs/>
          <w:snapToGrid/>
          <w:color w:val="auto"/>
          <w:kern w:val="2"/>
          <w:sz w:val="32"/>
          <w:highlight w:val="none"/>
        </w:rPr>
        <w:t>等法律法规及有关规定，</w:t>
      </w:r>
      <w:r>
        <w:rPr>
          <w:rFonts w:hint="eastAsia" w:ascii="仿宋_GB2312" w:hAnsi="仿宋_GB2312" w:eastAsia="仿宋_GB2312" w:cs="仿宋_GB2312"/>
          <w:bCs/>
          <w:snapToGrid/>
          <w:color w:val="auto"/>
          <w:kern w:val="2"/>
          <w:sz w:val="32"/>
          <w:highlight w:val="none"/>
          <w:lang w:eastAsia="zh-CN"/>
        </w:rPr>
        <w:t>修订</w:t>
      </w:r>
      <w:r>
        <w:rPr>
          <w:rFonts w:hint="eastAsia" w:ascii="仿宋_GB2312" w:hAnsi="仿宋_GB2312" w:eastAsia="仿宋_GB2312" w:cs="仿宋_GB2312"/>
          <w:bCs/>
          <w:snapToGrid/>
          <w:color w:val="auto"/>
          <w:kern w:val="2"/>
          <w:sz w:val="32"/>
          <w:highlight w:val="none"/>
        </w:rPr>
        <w:t>本预案。</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17" w:name="_Toc27773"/>
      <w:bookmarkStart w:id="18" w:name="_Toc18445"/>
      <w:bookmarkStart w:id="19" w:name="_Toc15006"/>
      <w:bookmarkStart w:id="20" w:name="_Toc2036"/>
      <w:bookmarkStart w:id="21" w:name="_Toc262556044"/>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rPr>
        <w:t>适用范围</w:t>
      </w:r>
      <w:bookmarkEnd w:id="17"/>
      <w:bookmarkEnd w:id="18"/>
      <w:bookmarkEnd w:id="19"/>
      <w:bookmarkEnd w:id="20"/>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szCs w:val="32"/>
          <w:highlight w:val="none"/>
        </w:rPr>
        <w:t>本预案适用于</w:t>
      </w:r>
      <w:r>
        <w:rPr>
          <w:rFonts w:hint="eastAsia" w:ascii="仿宋_GB2312" w:hAnsi="仿宋_GB2312" w:eastAsia="仿宋_GB2312" w:cs="仿宋_GB2312"/>
          <w:snapToGrid/>
          <w:color w:val="auto"/>
          <w:kern w:val="2"/>
          <w:sz w:val="32"/>
          <w:szCs w:val="32"/>
          <w:highlight w:val="none"/>
          <w:lang w:eastAsia="zh-CN"/>
        </w:rPr>
        <w:t>增城区辖区范围内和地区交界处</w:t>
      </w:r>
      <w:r>
        <w:rPr>
          <w:rFonts w:hint="eastAsia" w:ascii="仿宋_GB2312" w:hAnsi="仿宋_GB2312" w:eastAsia="仿宋_GB2312" w:cs="仿宋_GB2312"/>
          <w:snapToGrid/>
          <w:color w:val="auto"/>
          <w:kern w:val="2"/>
          <w:sz w:val="32"/>
          <w:szCs w:val="32"/>
          <w:highlight w:val="none"/>
        </w:rPr>
        <w:t>发生的森林火灾应急处置工作</w:t>
      </w:r>
      <w:r>
        <w:rPr>
          <w:rFonts w:hint="eastAsia" w:ascii="仿宋_GB2312" w:hAnsi="仿宋_GB2312" w:eastAsia="仿宋_GB2312" w:cs="仿宋_GB2312"/>
          <w:snapToGrid/>
          <w:color w:val="auto"/>
          <w:kern w:val="2"/>
          <w:sz w:val="32"/>
          <w:szCs w:val="32"/>
          <w:highlight w:val="none"/>
          <w:lang w:val="en-US" w:eastAsia="zh-CN"/>
        </w:rPr>
        <w:t>。</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22" w:name="_Toc262556046"/>
      <w:bookmarkStart w:id="23" w:name="_Toc13845"/>
      <w:bookmarkStart w:id="24" w:name="_Toc13848"/>
      <w:bookmarkStart w:id="25" w:name="_Toc8306"/>
      <w:bookmarkStart w:id="26" w:name="_Toc11057"/>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4</w:t>
      </w:r>
      <w:bookmarkEnd w:id="22"/>
      <w:r>
        <w:rPr>
          <w:rFonts w:hint="eastAsia" w:ascii="楷体_GB2312" w:hAnsi="楷体_GB2312" w:eastAsia="楷体_GB2312" w:cs="楷体_GB2312"/>
          <w:snapToGrid/>
          <w:color w:val="auto"/>
          <w:kern w:val="2"/>
          <w:highlight w:val="none"/>
        </w:rPr>
        <w:t>工作原则</w:t>
      </w:r>
      <w:bookmarkEnd w:id="21"/>
      <w:bookmarkEnd w:id="23"/>
      <w:bookmarkEnd w:id="24"/>
      <w:bookmarkEnd w:id="25"/>
      <w:bookmarkEnd w:id="26"/>
    </w:p>
    <w:p>
      <w:pPr>
        <w:pStyle w:val="8"/>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Cs w:val="32"/>
          <w:highlight w:val="none"/>
        </w:rPr>
      </w:pPr>
      <w:r>
        <w:rPr>
          <w:rFonts w:hint="eastAsia" w:ascii="仿宋_GB2312" w:hAnsi="仿宋_GB2312" w:eastAsia="仿宋_GB2312" w:cs="仿宋_GB2312"/>
          <w:snapToGrid/>
          <w:color w:val="auto"/>
          <w:kern w:val="2"/>
          <w:szCs w:val="32"/>
          <w:highlight w:val="none"/>
          <w:lang w:eastAsia="zh-CN"/>
        </w:rPr>
        <w:t>本</w:t>
      </w:r>
      <w:r>
        <w:rPr>
          <w:rFonts w:hint="eastAsia" w:ascii="仿宋_GB2312" w:hAnsi="仿宋_GB2312" w:eastAsia="仿宋_GB2312" w:cs="仿宋_GB2312"/>
          <w:snapToGrid/>
          <w:color w:val="auto"/>
          <w:kern w:val="2"/>
          <w:szCs w:val="32"/>
          <w:highlight w:val="none"/>
        </w:rPr>
        <w:t>森林火灾应急</w:t>
      </w:r>
      <w:r>
        <w:rPr>
          <w:rFonts w:hint="eastAsia" w:ascii="仿宋_GB2312" w:hAnsi="仿宋_GB2312" w:eastAsia="仿宋_GB2312" w:cs="仿宋_GB2312"/>
          <w:snapToGrid/>
          <w:color w:val="auto"/>
          <w:kern w:val="2"/>
          <w:szCs w:val="32"/>
          <w:highlight w:val="none"/>
          <w:lang w:eastAsia="zh-CN"/>
        </w:rPr>
        <w:t>预案</w:t>
      </w:r>
      <w:r>
        <w:rPr>
          <w:rFonts w:hint="eastAsia" w:ascii="仿宋_GB2312" w:hAnsi="仿宋_GB2312" w:eastAsia="仿宋_GB2312" w:cs="仿宋_GB2312"/>
          <w:snapToGrid/>
          <w:color w:val="auto"/>
          <w:kern w:val="2"/>
          <w:szCs w:val="32"/>
          <w:highlight w:val="none"/>
        </w:rPr>
        <w:t>坚持统一领导、协调联动，分级负责</w:t>
      </w:r>
      <w:r>
        <w:rPr>
          <w:rFonts w:hint="eastAsia" w:ascii="仿宋_GB2312" w:hAnsi="仿宋_GB2312" w:eastAsia="仿宋_GB2312" w:cs="仿宋_GB2312"/>
          <w:snapToGrid/>
          <w:color w:val="auto"/>
          <w:kern w:val="2"/>
          <w:szCs w:val="32"/>
          <w:highlight w:val="none"/>
          <w:lang w:eastAsia="zh-CN"/>
        </w:rPr>
        <w:t>、</w:t>
      </w:r>
      <w:r>
        <w:rPr>
          <w:rFonts w:hint="eastAsia" w:ascii="仿宋_GB2312" w:hAnsi="仿宋_GB2312" w:eastAsia="仿宋_GB2312" w:cs="仿宋_GB2312"/>
          <w:snapToGrid/>
          <w:color w:val="auto"/>
          <w:kern w:val="2"/>
          <w:szCs w:val="32"/>
          <w:highlight w:val="none"/>
        </w:rPr>
        <w:t>属地为主，快速反应、安全高效的原则。实行行政首长负责制，森林火灾发生后，各</w:t>
      </w:r>
      <w:r>
        <w:rPr>
          <w:rFonts w:hint="eastAsia" w:ascii="仿宋_GB2312" w:hAnsi="仿宋_GB2312" w:eastAsia="仿宋_GB2312" w:cs="仿宋_GB2312"/>
          <w:snapToGrid/>
          <w:color w:val="auto"/>
          <w:kern w:val="2"/>
          <w:szCs w:val="32"/>
          <w:highlight w:val="none"/>
          <w:lang w:eastAsia="zh-CN"/>
        </w:rPr>
        <w:t>镇街</w:t>
      </w:r>
      <w:r>
        <w:rPr>
          <w:rFonts w:hint="eastAsia" w:ascii="仿宋_GB2312" w:hAnsi="仿宋_GB2312" w:eastAsia="仿宋_GB2312" w:cs="仿宋_GB2312"/>
          <w:snapToGrid/>
          <w:color w:val="auto"/>
          <w:kern w:val="2"/>
          <w:szCs w:val="32"/>
          <w:highlight w:val="none"/>
        </w:rPr>
        <w:t>、有关部门立即按照任务分工和相关预案开展处置工作。</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0"/>
        <w:rPr>
          <w:rFonts w:hint="eastAsia" w:ascii="黑体" w:hAnsi="黑体" w:eastAsia="黑体" w:cs="黑体"/>
          <w:b w:val="0"/>
          <w:bCs/>
          <w:snapToGrid/>
          <w:color w:val="auto"/>
          <w:kern w:val="2"/>
          <w:highlight w:val="none"/>
        </w:rPr>
      </w:pPr>
      <w:bookmarkStart w:id="27" w:name="_Toc262556047"/>
      <w:bookmarkStart w:id="28" w:name="_Toc262555295"/>
      <w:bookmarkStart w:id="29" w:name="_Toc262554727"/>
      <w:bookmarkStart w:id="30" w:name="_Toc17814"/>
      <w:bookmarkStart w:id="31" w:name="_Toc8445"/>
      <w:bookmarkStart w:id="32" w:name="_Toc27564"/>
      <w:bookmarkStart w:id="33" w:name="_Toc15404"/>
      <w:r>
        <w:rPr>
          <w:rFonts w:hint="eastAsia" w:ascii="Times New Roman" w:hAnsi="Times New Roman" w:eastAsia="黑体" w:cs="黑体"/>
          <w:b w:val="0"/>
          <w:bCs/>
          <w:snapToGrid/>
          <w:color w:val="auto"/>
          <w:kern w:val="2"/>
          <w:highlight w:val="none"/>
        </w:rPr>
        <w:t>2</w:t>
      </w:r>
      <w:r>
        <w:rPr>
          <w:rFonts w:hint="eastAsia" w:ascii="黑体" w:hAnsi="黑体" w:eastAsia="黑体" w:cs="黑体"/>
          <w:b w:val="0"/>
          <w:bCs/>
          <w:snapToGrid/>
          <w:color w:val="auto"/>
          <w:kern w:val="2"/>
          <w:highlight w:val="none"/>
        </w:rPr>
        <w:t>.</w:t>
      </w:r>
      <w:bookmarkEnd w:id="27"/>
      <w:bookmarkEnd w:id="28"/>
      <w:bookmarkEnd w:id="29"/>
      <w:r>
        <w:rPr>
          <w:rFonts w:hint="eastAsia" w:ascii="黑体" w:hAnsi="黑体" w:eastAsia="黑体" w:cs="黑体"/>
          <w:b w:val="0"/>
          <w:bCs/>
          <w:snapToGrid/>
          <w:color w:val="auto"/>
          <w:kern w:val="2"/>
          <w:highlight w:val="none"/>
        </w:rPr>
        <w:t>组织指挥体系</w:t>
      </w:r>
      <w:bookmarkEnd w:id="30"/>
      <w:bookmarkEnd w:id="31"/>
      <w:bookmarkEnd w:id="32"/>
      <w:bookmarkEnd w:id="33"/>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34" w:name="_Toc25270"/>
      <w:bookmarkStart w:id="35" w:name="_Toc30577"/>
      <w:bookmarkStart w:id="36" w:name="_Toc26902"/>
      <w:bookmarkStart w:id="37" w:name="_Toc8500"/>
      <w:bookmarkStart w:id="38" w:name="_Toc262556048"/>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lang w:eastAsia="zh-CN"/>
        </w:rPr>
        <w:t>区</w:t>
      </w:r>
      <w:r>
        <w:rPr>
          <w:rFonts w:hint="eastAsia" w:ascii="楷体_GB2312" w:hAnsi="楷体_GB2312" w:eastAsia="楷体_GB2312" w:cs="楷体_GB2312"/>
          <w:snapToGrid/>
          <w:color w:val="auto"/>
          <w:kern w:val="2"/>
          <w:highlight w:val="none"/>
        </w:rPr>
        <w:t>森林防灭火指挥部</w:t>
      </w:r>
      <w:bookmarkEnd w:id="34"/>
      <w:bookmarkEnd w:id="35"/>
      <w:bookmarkEnd w:id="36"/>
      <w:bookmarkEnd w:id="37"/>
    </w:p>
    <w:bookmarkEnd w:id="38"/>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总 指 挥：分管应急</w:t>
      </w:r>
      <w:r>
        <w:rPr>
          <w:rFonts w:hint="eastAsia" w:ascii="仿宋_GB2312" w:hAnsi="仿宋_GB2312" w:eastAsia="仿宋_GB2312" w:cs="仿宋_GB2312"/>
          <w:snapToGrid/>
          <w:color w:val="auto"/>
          <w:kern w:val="2"/>
          <w:sz w:val="32"/>
          <w:highlight w:val="none"/>
          <w:lang w:eastAsia="zh-CN"/>
        </w:rPr>
        <w:t>管理</w:t>
      </w:r>
      <w:r>
        <w:rPr>
          <w:rFonts w:hint="eastAsia" w:ascii="仿宋_GB2312" w:hAnsi="仿宋_GB2312" w:eastAsia="仿宋_GB2312" w:cs="仿宋_GB2312"/>
          <w:snapToGrid/>
          <w:color w:val="auto"/>
          <w:kern w:val="2"/>
          <w:sz w:val="32"/>
          <w:highlight w:val="none"/>
        </w:rPr>
        <w:t>工作</w:t>
      </w:r>
      <w:r>
        <w:rPr>
          <w:rFonts w:hint="eastAsia" w:ascii="仿宋_GB2312" w:hAnsi="仿宋_GB2312" w:eastAsia="仿宋_GB2312" w:cs="仿宋_GB2312"/>
          <w:snapToGrid/>
          <w:color w:val="auto"/>
          <w:kern w:val="2"/>
          <w:sz w:val="32"/>
          <w:highlight w:val="none"/>
          <w:lang w:eastAsia="zh-CN"/>
        </w:rPr>
        <w:t>的</w:t>
      </w:r>
      <w:r>
        <w:rPr>
          <w:rFonts w:hint="eastAsia" w:ascii="仿宋_GB2312" w:hAnsi="仿宋_GB2312" w:eastAsia="仿宋_GB2312" w:cs="仿宋_GB2312"/>
          <w:snapToGrid/>
          <w:color w:val="auto"/>
          <w:kern w:val="2"/>
          <w:sz w:val="32"/>
          <w:highlight w:val="none"/>
        </w:rPr>
        <w:t>副</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长。</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副总指挥：</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应急管理局局长、</w:t>
      </w:r>
      <w:r>
        <w:rPr>
          <w:rFonts w:hint="eastAsia" w:ascii="仿宋_GB2312" w:hAnsi="仿宋_GB2312" w:eastAsia="仿宋_GB2312" w:cs="仿宋_GB2312"/>
          <w:snapToGrid/>
          <w:color w:val="auto"/>
          <w:kern w:val="2"/>
          <w:sz w:val="32"/>
          <w:highlight w:val="none"/>
          <w:lang w:eastAsia="zh-CN"/>
        </w:rPr>
        <w:t>区林业和园林局</w:t>
      </w:r>
      <w:r>
        <w:rPr>
          <w:rFonts w:hint="eastAsia" w:ascii="仿宋_GB2312" w:hAnsi="仿宋_GB2312" w:eastAsia="仿宋_GB2312" w:cs="仿宋_GB2312"/>
          <w:snapToGrid/>
          <w:color w:val="auto"/>
          <w:kern w:val="2"/>
          <w:sz w:val="32"/>
          <w:highlight w:val="none"/>
        </w:rPr>
        <w:t>局长</w:t>
      </w:r>
      <w:r>
        <w:rPr>
          <w:rFonts w:hint="eastAsia" w:ascii="仿宋_GB2312" w:hAnsi="仿宋_GB2312" w:eastAsia="仿宋_GB2312" w:cs="仿宋_GB2312"/>
          <w:snapToGrid/>
          <w:color w:val="auto"/>
          <w:kern w:val="2"/>
          <w:sz w:val="32"/>
          <w:highlight w:val="none"/>
          <w:lang w:eastAsia="zh-CN"/>
        </w:rPr>
        <w:t>、市公安增城分局分管领导、区人民武装部分管领导</w:t>
      </w:r>
      <w:r>
        <w:rPr>
          <w:rFonts w:hint="eastAsia" w:ascii="仿宋_GB2312" w:hAnsi="仿宋_GB2312" w:eastAsia="仿宋_GB2312" w:cs="仿宋_GB2312"/>
          <w:snapToGrid/>
          <w:color w:val="auto"/>
          <w:kern w:val="2"/>
          <w:sz w:val="32"/>
          <w:highlight w:val="none"/>
        </w:rPr>
        <w:t>、</w:t>
      </w:r>
      <w:r>
        <w:rPr>
          <w:rFonts w:hint="eastAsia" w:ascii="仿宋_GB2312" w:hAnsi="仿宋_GB2312" w:eastAsia="仿宋_GB2312" w:cs="仿宋_GB2312"/>
          <w:snapToGrid/>
          <w:color w:val="auto"/>
          <w:kern w:val="2"/>
          <w:sz w:val="32"/>
          <w:highlight w:val="none"/>
          <w:lang w:eastAsia="zh-CN"/>
        </w:rPr>
        <w:t>区消防救援大队</w:t>
      </w:r>
      <w:r>
        <w:rPr>
          <w:rFonts w:hint="eastAsia" w:ascii="仿宋_GB2312" w:hAnsi="仿宋_GB2312" w:eastAsia="仿宋_GB2312" w:cs="仿宋_GB2312"/>
          <w:snapToGrid/>
          <w:color w:val="auto"/>
          <w:kern w:val="2"/>
          <w:sz w:val="32"/>
          <w:highlight w:val="none"/>
        </w:rPr>
        <w:t>负责</w:t>
      </w:r>
      <w:r>
        <w:rPr>
          <w:rFonts w:hint="eastAsia" w:ascii="仿宋_GB2312" w:hAnsi="仿宋_GB2312" w:eastAsia="仿宋_GB2312" w:cs="仿宋_GB2312"/>
          <w:snapToGrid/>
          <w:color w:val="auto"/>
          <w:kern w:val="2"/>
          <w:sz w:val="32"/>
          <w:highlight w:val="none"/>
          <w:lang w:eastAsia="zh-CN"/>
        </w:rPr>
        <w:t>同志</w:t>
      </w:r>
      <w:r>
        <w:rPr>
          <w:rFonts w:hint="eastAsia" w:ascii="仿宋_GB2312" w:hAnsi="仿宋_GB2312" w:eastAsia="仿宋_GB2312" w:cs="仿宋_GB2312"/>
          <w:snapToGrid/>
          <w:color w:val="auto"/>
          <w:kern w:val="2"/>
          <w:sz w:val="32"/>
          <w:highlight w:val="none"/>
        </w:rPr>
        <w:t>。</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成  员：</w:t>
      </w:r>
      <w:r>
        <w:rPr>
          <w:rFonts w:hint="eastAsia" w:ascii="仿宋_GB2312" w:hAnsi="仿宋_GB2312" w:eastAsia="仿宋_GB2312" w:cs="仿宋_GB2312"/>
          <w:b w:val="0"/>
          <w:bCs w:val="0"/>
          <w:snapToGrid/>
          <w:color w:val="auto"/>
          <w:kern w:val="2"/>
          <w:sz w:val="32"/>
          <w:szCs w:val="32"/>
          <w:highlight w:val="none"/>
          <w:lang w:val="en-US" w:eastAsia="zh-CN"/>
        </w:rPr>
        <w:t>区委宣传部、区发展改革局、区教育局、区科技工业商务和信息化局、市公安局增城分局、区民政局、区司法局、区财政局、区交通运输局、区农业农村局、区文化广电旅游体育局、区卫生健康局、区应急管理局、区林业和园林局、区气象局、区消防救援大队、区人民武装部、增城供电局</w:t>
      </w:r>
      <w:r>
        <w:rPr>
          <w:rFonts w:hint="eastAsia" w:ascii="仿宋_GB2312" w:hAnsi="仿宋_GB2312" w:eastAsia="仿宋_GB2312" w:cs="仿宋_GB2312"/>
          <w:snapToGrid/>
          <w:color w:val="auto"/>
          <w:kern w:val="2"/>
          <w:sz w:val="32"/>
          <w:highlight w:val="none"/>
        </w:rPr>
        <w:t>等单位</w:t>
      </w:r>
      <w:r>
        <w:rPr>
          <w:rFonts w:hint="eastAsia" w:ascii="仿宋_GB2312" w:hAnsi="仿宋_GB2312" w:eastAsia="仿宋_GB2312" w:cs="仿宋_GB2312"/>
          <w:snapToGrid/>
          <w:color w:val="auto"/>
          <w:kern w:val="2"/>
          <w:sz w:val="32"/>
          <w:highlight w:val="none"/>
          <w:lang w:eastAsia="zh-CN"/>
        </w:rPr>
        <w:t>分管负责同志</w:t>
      </w:r>
      <w:r>
        <w:rPr>
          <w:rFonts w:hint="eastAsia" w:ascii="仿宋_GB2312" w:hAnsi="仿宋_GB2312" w:eastAsia="仿宋_GB2312" w:cs="仿宋_GB2312"/>
          <w:snapToGrid/>
          <w:color w:val="auto"/>
          <w:kern w:val="2"/>
          <w:sz w:val="32"/>
          <w:highlight w:val="none"/>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snapToGrid/>
          <w:color w:val="auto"/>
          <w:kern w:val="2"/>
          <w:sz w:val="32"/>
          <w:highlight w:val="none"/>
        </w:rPr>
        <w:t>主要职责：</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森林防灭火指挥部（简称</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森防指）负责</w:t>
      </w:r>
      <w:r>
        <w:rPr>
          <w:rFonts w:hint="eastAsia" w:ascii="仿宋_GB2312" w:hAnsi="仿宋_GB2312" w:eastAsia="仿宋_GB2312" w:cs="仿宋_GB2312"/>
          <w:b w:val="0"/>
          <w:bCs w:val="0"/>
          <w:snapToGrid/>
          <w:color w:val="auto"/>
          <w:kern w:val="2"/>
          <w:sz w:val="32"/>
          <w:szCs w:val="32"/>
          <w:highlight w:val="none"/>
          <w:lang w:val="en-US" w:eastAsia="zh-CN"/>
        </w:rPr>
        <w:t>研究部署全区森林火灾预防和扑救工作；协调解决全区森林防灭火工作中的重要问题和成员单位提出的重要事项；指导协调较大以上森林火灾扑救工作，负责组织、指挥扑救需要区级以上响应处置的森林火灾；监督检查全区森林防灭火各级各部门贯彻执行上级森防指和区委、区政府关于森林防灭火工作的决策部署以及其他重大事项的落实情况；组织指导有关森林火灾的调查评估处理和挂牌督办工作；完成上级森防指和区委、区政府交办的其他森林防灭火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39" w:name="_Toc27005"/>
      <w:bookmarkStart w:id="40" w:name="_Toc1840"/>
      <w:bookmarkStart w:id="41" w:name="_Toc25489"/>
      <w:bookmarkStart w:id="42" w:name="_Toc5284"/>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lang w:eastAsia="zh-CN"/>
        </w:rPr>
        <w:t>区</w:t>
      </w:r>
      <w:r>
        <w:rPr>
          <w:rFonts w:hint="eastAsia" w:ascii="楷体_GB2312" w:hAnsi="楷体_GB2312" w:eastAsia="楷体_GB2312" w:cs="楷体_GB2312"/>
          <w:snapToGrid/>
          <w:color w:val="auto"/>
          <w:kern w:val="2"/>
          <w:highlight w:val="none"/>
        </w:rPr>
        <w:t>森林防灭火指挥部办公室</w:t>
      </w:r>
      <w:bookmarkEnd w:id="39"/>
      <w:bookmarkEnd w:id="40"/>
      <w:bookmarkEnd w:id="41"/>
      <w:bookmarkEnd w:id="42"/>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森林防灭火指挥部办公室（简称</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森防指办公室）设在</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应急管理局</w:t>
      </w:r>
      <w:r>
        <w:rPr>
          <w:rFonts w:hint="eastAsia" w:ascii="仿宋_GB2312" w:hAnsi="仿宋_GB2312" w:eastAsia="仿宋_GB2312" w:cs="仿宋_GB2312"/>
          <w:snapToGrid/>
          <w:color w:val="auto"/>
          <w:kern w:val="2"/>
          <w:sz w:val="32"/>
          <w:highlight w:val="none"/>
          <w:lang w:eastAsia="zh-CN"/>
        </w:rPr>
        <w:t>，</w:t>
      </w:r>
      <w:r>
        <w:rPr>
          <w:rFonts w:hint="eastAsia" w:ascii="仿宋_GB2312" w:hAnsi="仿宋_GB2312" w:eastAsia="仿宋_GB2312" w:cs="仿宋_GB2312"/>
          <w:snapToGrid/>
          <w:color w:val="auto"/>
          <w:kern w:val="2"/>
          <w:sz w:val="32"/>
          <w:highlight w:val="none"/>
        </w:rPr>
        <w:t>作为全</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森林防灭火工作日常办事机构，承担指挥部日常工作。必要时，</w:t>
      </w:r>
      <w:r>
        <w:rPr>
          <w:rFonts w:hint="eastAsia" w:ascii="仿宋_GB2312" w:hAnsi="仿宋_GB2312" w:eastAsia="仿宋_GB2312" w:cs="仿宋_GB2312"/>
          <w:snapToGrid/>
          <w:color w:val="auto"/>
          <w:kern w:val="2"/>
          <w:sz w:val="32"/>
          <w:highlight w:val="none"/>
          <w:lang w:eastAsia="zh-CN"/>
        </w:rPr>
        <w:t>区林业和园林局</w:t>
      </w:r>
      <w:r>
        <w:rPr>
          <w:rFonts w:hint="eastAsia" w:ascii="仿宋_GB2312" w:hAnsi="仿宋_GB2312" w:eastAsia="仿宋_GB2312" w:cs="仿宋_GB2312"/>
          <w:snapToGrid/>
          <w:color w:val="auto"/>
          <w:kern w:val="2"/>
          <w:sz w:val="32"/>
          <w:highlight w:val="none"/>
        </w:rPr>
        <w:t>可以按照程序提请以</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森林防灭火指挥机构名义部署相关防治工作。办公室主任由</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应急管理局局长兼任，副主任由</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应急管理局、</w:t>
      </w:r>
      <w:r>
        <w:rPr>
          <w:rFonts w:hint="eastAsia" w:ascii="仿宋_GB2312" w:hAnsi="仿宋_GB2312" w:eastAsia="仿宋_GB2312" w:cs="仿宋_GB2312"/>
          <w:snapToGrid/>
          <w:color w:val="auto"/>
          <w:kern w:val="2"/>
          <w:sz w:val="32"/>
          <w:highlight w:val="none"/>
          <w:lang w:eastAsia="zh-CN"/>
        </w:rPr>
        <w:t>区林业和园林局</w:t>
      </w:r>
      <w:r>
        <w:rPr>
          <w:rFonts w:hint="eastAsia" w:ascii="仿宋_GB2312" w:hAnsi="仿宋_GB2312" w:eastAsia="仿宋_GB2312" w:cs="仿宋_GB2312"/>
          <w:snapToGrid/>
          <w:color w:val="auto"/>
          <w:kern w:val="2"/>
          <w:sz w:val="32"/>
          <w:highlight w:val="none"/>
        </w:rPr>
        <w:t>森林防灭火工作分管领导兼任。</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主要职责：</w:t>
      </w:r>
      <w:r>
        <w:rPr>
          <w:rFonts w:hint="eastAsia" w:ascii="仿宋_GB2312" w:hAnsi="仿宋_GB2312" w:eastAsia="仿宋_GB2312" w:cs="仿宋_GB2312"/>
          <w:snapToGrid/>
          <w:color w:val="auto"/>
          <w:kern w:val="2"/>
          <w:sz w:val="32"/>
          <w:highlight w:val="none"/>
          <w:lang w:eastAsia="zh-CN"/>
        </w:rPr>
        <w:t>一是协调推动</w:t>
      </w:r>
      <w:r>
        <w:rPr>
          <w:rFonts w:hint="eastAsia" w:ascii="仿宋_GB2312" w:hAnsi="仿宋_GB2312" w:eastAsia="仿宋_GB2312" w:cs="仿宋_GB2312"/>
          <w:snapToGrid/>
          <w:color w:val="auto"/>
          <w:kern w:val="2"/>
          <w:sz w:val="32"/>
          <w:highlight w:val="none"/>
          <w:lang w:val="en-US" w:eastAsia="zh-CN"/>
        </w:rPr>
        <w:t>全区森林防灭火各级各部门</w:t>
      </w:r>
      <w:r>
        <w:rPr>
          <w:rFonts w:hint="eastAsia" w:ascii="仿宋_GB2312" w:hAnsi="仿宋_GB2312" w:eastAsia="仿宋_GB2312" w:cs="仿宋_GB2312"/>
          <w:snapToGrid/>
          <w:color w:val="auto"/>
          <w:kern w:val="2"/>
          <w:sz w:val="32"/>
          <w:highlight w:val="none"/>
          <w:lang w:eastAsia="zh-CN"/>
        </w:rPr>
        <w:t>贯彻落实省市森防指和区委、区政府关于森林防灭火工作的各项工作部署，以及区领导同志关于森林防灭火工作的批示精神、区森防指的工作要求；二是牵头分析会商全区森林防灭火形势，开展森林防灭火工作重大方针政策和重要措施调查研究；三是研究提出区森防指年度工作要点和任务分工方案建议，综合汇总和通报全区森林防灭火工作情况，承办区森防指会议、文件起草、制度拟订、议定事项跟进督办和成员单位报请以指挥部名义部署工作的文件等工作；四是研判与发布森林火险信息和监测信息，组织实施全区森林防灭火工作督查、约谈等工作，组织较大以上森林火灾事故查处挂牌督办和重大火灾调查评估处理工作；五是按照总指挥、副总指挥要求，做好增援队伍调派、预案启动、较大以上森林火灾及其他需要区森防指响应处置的火灾扑救有关协调指导工作；六是负责区森防指成员单位的日常协调联络工作；七是承办区森防指交办的其他事项。</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1"/>
        <w:rPr>
          <w:rFonts w:hint="eastAsia" w:ascii="楷体_GB2312" w:hAnsi="楷体_GB2312" w:eastAsia="楷体_GB2312" w:cs="楷体_GB2312"/>
          <w:snapToGrid/>
          <w:color w:val="auto"/>
          <w:kern w:val="2"/>
          <w:highlight w:val="none"/>
        </w:rPr>
      </w:pPr>
      <w:bookmarkStart w:id="43" w:name="_Toc29207"/>
      <w:bookmarkStart w:id="44" w:name="_Toc21356"/>
      <w:bookmarkStart w:id="45" w:name="_Toc452"/>
      <w:bookmarkStart w:id="46" w:name="_Toc17607"/>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lang w:eastAsia="zh-CN"/>
        </w:rPr>
        <w:t>区</w:t>
      </w:r>
      <w:r>
        <w:rPr>
          <w:rFonts w:hint="eastAsia" w:ascii="楷体_GB2312" w:hAnsi="楷体_GB2312" w:eastAsia="楷体_GB2312" w:cs="楷体_GB2312"/>
          <w:snapToGrid/>
          <w:color w:val="auto"/>
          <w:kern w:val="2"/>
          <w:highlight w:val="none"/>
        </w:rPr>
        <w:t>森林防灭火指挥部成员单位职责</w:t>
      </w:r>
      <w:bookmarkEnd w:id="43"/>
      <w:bookmarkEnd w:id="44"/>
      <w:bookmarkEnd w:id="45"/>
      <w:bookmarkEnd w:id="46"/>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森林防灭火指挥部成员单位是</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森林防灭火组织领导体系的重要组成部分，应根据职责分工，各司其职，各负其责，密切协作，确保各项森林防灭火工作任务顺利完成。各成员单位主要职责是：</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w:t>
      </w:r>
      <w:r>
        <w:rPr>
          <w:rFonts w:hint="eastAsia" w:ascii="仿宋_GB2312" w:hAnsi="仿宋_GB2312" w:eastAsia="仿宋_GB2312" w:cs="仿宋_GB2312"/>
          <w:b w:val="0"/>
          <w:bCs w:val="0"/>
          <w:snapToGrid/>
          <w:color w:val="auto"/>
          <w:kern w:val="2"/>
          <w:sz w:val="32"/>
          <w:szCs w:val="32"/>
          <w:highlight w:val="none"/>
          <w:lang w:val="en-US" w:eastAsia="zh-CN"/>
        </w:rPr>
        <w:t>）区应急管理局：负责森林防灭火牵头抓总和应急处置工作，健全完善森林防灭火工作责任体系和责任制考评办法，组织、协调、指导相关部门开展森林防灭火工作；开展调研、培训、演练等有关工作；组织、指导森林消防专业应急救援队伍和装备建设，牵头组织相关地区和部门建立联防联控工作机制，统筹调度应急力量参与森林火灾应急处置；指导协调较大以上森林火灾扑救工作，协助区委、区政府组织指挥扑救需要区级以上响应处置的森林火灾；负责森林火情监测预警工作，加强森林防灭火宣传，健全完善森林防灭火应急值守和火情报告制度，联合气象部门做好森林火险预警发布，根据相关规定发布森林火灾信息；承担区森防指日常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2</w:t>
      </w:r>
      <w:r>
        <w:rPr>
          <w:rFonts w:hint="eastAsia" w:ascii="仿宋_GB2312" w:hAnsi="仿宋_GB2312" w:eastAsia="仿宋_GB2312" w:cs="仿宋_GB2312"/>
          <w:b w:val="0"/>
          <w:bCs w:val="0"/>
          <w:snapToGrid/>
          <w:color w:val="auto"/>
          <w:kern w:val="2"/>
          <w:sz w:val="32"/>
          <w:szCs w:val="32"/>
          <w:highlight w:val="none"/>
          <w:lang w:val="en-US" w:eastAsia="zh-CN"/>
        </w:rPr>
        <w:t>）区林业和园林局：履行森林防火工作行业管理责任，牵头做好森林火灾预防工作，组织、指导开展防火巡护、火源管理、防火设施建设、协助火情早期处理和林区森林防火宣传等工作；组织、指导区属国有林场林区做好森林火灾的预防和扑救工作；必要时，可以按程序提请以区森防指名义部署相关防治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3</w:t>
      </w:r>
      <w:r>
        <w:rPr>
          <w:rFonts w:hint="eastAsia" w:ascii="仿宋_GB2312" w:hAnsi="仿宋_GB2312" w:eastAsia="仿宋_GB2312" w:cs="仿宋_GB2312"/>
          <w:b w:val="0"/>
          <w:bCs w:val="0"/>
          <w:snapToGrid/>
          <w:color w:val="auto"/>
          <w:kern w:val="2"/>
          <w:sz w:val="32"/>
          <w:szCs w:val="32"/>
          <w:highlight w:val="none"/>
          <w:lang w:val="en-US" w:eastAsia="zh-CN"/>
        </w:rPr>
        <w:t>）区委宣传部：负责组织区属媒体配合相关职能部门做好森林防灭火政策解读和成效宣传；指导相关职能部门开展森林火灾扑救等重大突发事件宣传报道工作和舆论引导；指导协调有关部门开展森林防灭火知识和技能的宣传教育。</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4</w:t>
      </w:r>
      <w:r>
        <w:rPr>
          <w:rFonts w:hint="eastAsia" w:ascii="仿宋_GB2312" w:hAnsi="仿宋_GB2312" w:eastAsia="仿宋_GB2312" w:cs="仿宋_GB2312"/>
          <w:b w:val="0"/>
          <w:bCs w:val="0"/>
          <w:snapToGrid/>
          <w:color w:val="auto"/>
          <w:kern w:val="2"/>
          <w:sz w:val="32"/>
          <w:szCs w:val="32"/>
          <w:highlight w:val="none"/>
          <w:lang w:val="en-US" w:eastAsia="zh-CN"/>
        </w:rPr>
        <w:t>）区发展改革局：负责协调、指导森林防灭火发展规划的编制及项目建设；做好受灾群众基本生活应急保障供应。</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5</w:t>
      </w:r>
      <w:r>
        <w:rPr>
          <w:rFonts w:hint="eastAsia" w:ascii="仿宋_GB2312" w:hAnsi="仿宋_GB2312" w:eastAsia="仿宋_GB2312" w:cs="仿宋_GB2312"/>
          <w:b w:val="0"/>
          <w:bCs w:val="0"/>
          <w:snapToGrid/>
          <w:color w:val="auto"/>
          <w:kern w:val="2"/>
          <w:sz w:val="32"/>
          <w:szCs w:val="32"/>
          <w:highlight w:val="none"/>
          <w:lang w:val="en-US" w:eastAsia="zh-CN"/>
        </w:rPr>
        <w:t>）区教育局：负责指导各级各类学校开展森林防灭火知识和法律法规教育，将森林防灭火内容纳入安全教育体系；协同做好森林防灭火宣传工作。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6</w:t>
      </w:r>
      <w:r>
        <w:rPr>
          <w:rFonts w:hint="eastAsia" w:ascii="仿宋_GB2312" w:hAnsi="仿宋_GB2312" w:eastAsia="仿宋_GB2312" w:cs="仿宋_GB2312"/>
          <w:b w:val="0"/>
          <w:bCs w:val="0"/>
          <w:snapToGrid/>
          <w:color w:val="auto"/>
          <w:kern w:val="2"/>
          <w:sz w:val="32"/>
          <w:szCs w:val="32"/>
          <w:highlight w:val="none"/>
          <w:lang w:val="en-US" w:eastAsia="zh-CN"/>
        </w:rPr>
        <w:t>）区科技工业商务和信息化局：负责协助上级无线电管理机构保障森林防灭火应急无线电频率的正常使用；指导协调区各通信运营商做好扑火救灾所需的公共通信保障工作；指导协调成品油经营企业做好应急抢险救灾车辆及扑火装备的成品油供应保障工作；协调森林防火区加油站火险隐患排查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7</w:t>
      </w:r>
      <w:r>
        <w:rPr>
          <w:rFonts w:hint="eastAsia" w:ascii="仿宋_GB2312" w:hAnsi="仿宋_GB2312" w:eastAsia="仿宋_GB2312" w:cs="仿宋_GB2312"/>
          <w:b w:val="0"/>
          <w:bCs w:val="0"/>
          <w:snapToGrid/>
          <w:color w:val="auto"/>
          <w:kern w:val="2"/>
          <w:sz w:val="32"/>
          <w:szCs w:val="32"/>
          <w:highlight w:val="none"/>
          <w:lang w:val="en-US" w:eastAsia="zh-CN"/>
        </w:rPr>
        <w:t>）市公安局增城分局：负责火场警戒、交通疏导、治安维护、火案侦破，协同林业主管部门开展防火宣传、火灾隐患排查，重点区域巡护、违规用火处罚等工作。按程序提请上级调派警务直升机执行航空灭火和运送人员、装备及物资等任务；指导、督促公安机关设在林区的看守所做好森林防灭火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8</w:t>
      </w:r>
      <w:r>
        <w:rPr>
          <w:rFonts w:hint="eastAsia" w:ascii="仿宋_GB2312" w:hAnsi="仿宋_GB2312" w:eastAsia="仿宋_GB2312" w:cs="仿宋_GB2312"/>
          <w:b w:val="0"/>
          <w:bCs w:val="0"/>
          <w:snapToGrid/>
          <w:color w:val="auto"/>
          <w:kern w:val="2"/>
          <w:sz w:val="32"/>
          <w:szCs w:val="32"/>
          <w:highlight w:val="none"/>
          <w:lang w:val="en-US" w:eastAsia="zh-CN"/>
        </w:rPr>
        <w:t>）区民政局：负责教育、引导民众文明祭祀，指导、督促殡仪馆、公墓、骨灰楼（安放地）等殡葬服务机构和森林防火区养老机构落实森林防火主体责任，建立森林防火责任制，完善防火保障措施、安全警示标识和应急处置装备，做好预防和应急准备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9</w:t>
      </w:r>
      <w:r>
        <w:rPr>
          <w:rFonts w:hint="eastAsia" w:ascii="仿宋_GB2312" w:hAnsi="仿宋_GB2312" w:eastAsia="仿宋_GB2312" w:cs="仿宋_GB2312"/>
          <w:b w:val="0"/>
          <w:bCs w:val="0"/>
          <w:snapToGrid/>
          <w:color w:val="auto"/>
          <w:kern w:val="2"/>
          <w:sz w:val="32"/>
          <w:szCs w:val="32"/>
          <w:highlight w:val="none"/>
          <w:lang w:val="en-US" w:eastAsia="zh-CN"/>
        </w:rPr>
        <w:t>）区司法局：协助做好森林防灭火法律法规宣传工作，提供相应的法律服务保障；协助上级司法行政机关指导、督促设在森林防火区的监狱、戒毒等场所做好森林防火工作。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10</w:t>
      </w:r>
      <w:r>
        <w:rPr>
          <w:rFonts w:hint="eastAsia" w:ascii="仿宋_GB2312" w:hAnsi="仿宋_GB2312" w:eastAsia="仿宋_GB2312" w:cs="仿宋_GB2312"/>
          <w:b w:val="0"/>
          <w:bCs w:val="0"/>
          <w:snapToGrid/>
          <w:color w:val="auto"/>
          <w:kern w:val="2"/>
          <w:sz w:val="32"/>
          <w:szCs w:val="32"/>
          <w:highlight w:val="none"/>
          <w:lang w:val="en-US" w:eastAsia="zh-CN"/>
        </w:rPr>
        <w:t>）区财政局：统筹安排森林防灭火工作中应由区财政解决的经费，并及时拨付到位；按事权与支出责任相适应的原则，对森林火灾预防和扑救、增强森林防灭火能力所需经费给予必要保障。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eastAsia="仿宋_GB2312" w:cs="仿宋_GB2312"/>
          <w:b w:val="0"/>
          <w:bCs w:val="0"/>
          <w:snapToGrid/>
          <w:color w:val="auto"/>
          <w:kern w:val="2"/>
          <w:sz w:val="32"/>
          <w:szCs w:val="32"/>
          <w:highlight w:val="none"/>
          <w:lang w:val="en-US" w:eastAsia="zh-CN"/>
        </w:rPr>
        <w:t>11</w:t>
      </w:r>
      <w:r>
        <w:rPr>
          <w:rFonts w:hint="eastAsia" w:ascii="仿宋_GB2312" w:hAnsi="仿宋_GB2312" w:eastAsia="仿宋_GB2312" w:cs="仿宋_GB2312"/>
          <w:b w:val="0"/>
          <w:bCs w:val="0"/>
          <w:snapToGrid/>
          <w:color w:val="auto"/>
          <w:kern w:val="2"/>
          <w:sz w:val="32"/>
          <w:szCs w:val="32"/>
          <w:highlight w:val="none"/>
          <w:lang w:val="en-US" w:eastAsia="zh-CN"/>
        </w:rPr>
        <w:t>）区交通运输局：负责指导、督促公路管养单位落实森林防火主体责任，建立森林防火责任制，及时清理国道、省道用地范围内的森林火灾隐患；做好森林火灾应急处置时的扑救人员和扑救物资等应急运输保障；协调落实森林防灭火车辆公路通行保障等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w:t>
      </w:r>
      <w:r>
        <w:rPr>
          <w:rFonts w:hint="eastAsia" w:eastAsia="仿宋_GB2312" w:cs="仿宋_GB2312"/>
          <w:b w:val="0"/>
          <w:bCs w:val="0"/>
          <w:snapToGrid/>
          <w:color w:val="auto"/>
          <w:kern w:val="2"/>
          <w:sz w:val="32"/>
          <w:szCs w:val="32"/>
          <w:highlight w:val="none"/>
          <w:lang w:val="en-US" w:eastAsia="zh-CN"/>
        </w:rPr>
        <w:t>2</w:t>
      </w:r>
      <w:r>
        <w:rPr>
          <w:rFonts w:hint="eastAsia" w:ascii="仿宋_GB2312" w:hAnsi="仿宋_GB2312" w:eastAsia="仿宋_GB2312" w:cs="仿宋_GB2312"/>
          <w:b w:val="0"/>
          <w:bCs w:val="0"/>
          <w:snapToGrid/>
          <w:color w:val="auto"/>
          <w:kern w:val="2"/>
          <w:sz w:val="32"/>
          <w:szCs w:val="32"/>
          <w:highlight w:val="none"/>
          <w:lang w:val="en-US" w:eastAsia="zh-CN"/>
        </w:rPr>
        <w:t>）区农业农村局：负责指导、监督野外农事用火管理；协同做好农村森林火灾预防工作。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w:t>
      </w:r>
      <w:r>
        <w:rPr>
          <w:rFonts w:hint="eastAsia" w:eastAsia="仿宋_GB2312" w:cs="仿宋_GB2312"/>
          <w:b w:val="0"/>
          <w:bCs w:val="0"/>
          <w:snapToGrid/>
          <w:color w:val="auto"/>
          <w:kern w:val="2"/>
          <w:sz w:val="32"/>
          <w:szCs w:val="32"/>
          <w:highlight w:val="none"/>
          <w:lang w:val="en-US" w:eastAsia="zh-CN"/>
        </w:rPr>
        <w:t>3</w:t>
      </w:r>
      <w:r>
        <w:rPr>
          <w:rFonts w:hint="eastAsia" w:ascii="仿宋_GB2312" w:hAnsi="仿宋_GB2312" w:eastAsia="仿宋_GB2312" w:cs="仿宋_GB2312"/>
          <w:b w:val="0"/>
          <w:bCs w:val="0"/>
          <w:snapToGrid/>
          <w:color w:val="auto"/>
          <w:kern w:val="2"/>
          <w:sz w:val="32"/>
          <w:szCs w:val="32"/>
          <w:highlight w:val="none"/>
          <w:lang w:val="en-US" w:eastAsia="zh-CN"/>
        </w:rPr>
        <w:t>）区文化广电旅游体育局：负责指导、督促以森林景观为主的</w:t>
      </w:r>
      <w:r>
        <w:rPr>
          <w:rFonts w:hint="eastAsia" w:ascii="Times New Roman" w:hAnsi="Times New Roman" w:eastAsia="仿宋_GB2312" w:cs="仿宋_GB2312"/>
          <w:b w:val="0"/>
          <w:bCs w:val="0"/>
          <w:snapToGrid/>
          <w:color w:val="auto"/>
          <w:kern w:val="2"/>
          <w:sz w:val="32"/>
          <w:szCs w:val="32"/>
          <w:highlight w:val="none"/>
          <w:lang w:val="en-US" w:eastAsia="zh-CN"/>
        </w:rPr>
        <w:t>A</w:t>
      </w:r>
      <w:r>
        <w:rPr>
          <w:rFonts w:hint="eastAsia" w:ascii="仿宋_GB2312" w:hAnsi="仿宋_GB2312" w:eastAsia="仿宋_GB2312" w:cs="仿宋_GB2312"/>
          <w:b w:val="0"/>
          <w:bCs w:val="0"/>
          <w:snapToGrid/>
          <w:color w:val="auto"/>
          <w:kern w:val="2"/>
          <w:sz w:val="32"/>
          <w:szCs w:val="32"/>
          <w:highlight w:val="none"/>
          <w:lang w:val="en-US" w:eastAsia="zh-CN"/>
        </w:rPr>
        <w:t>级旅游景区和在森林防火区的文物保护单位落实森林防火主体责任，建立森林防火责任制，完善景区防火保障措施、安全警示标识和应急处置装备，做好预防和应急准备工作，协同做好森林防灭火宣传及引导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w:t>
      </w:r>
      <w:r>
        <w:rPr>
          <w:rFonts w:hint="eastAsia" w:eastAsia="仿宋_GB2312" w:cs="仿宋_GB2312"/>
          <w:b w:val="0"/>
          <w:bCs w:val="0"/>
          <w:snapToGrid/>
          <w:color w:val="auto"/>
          <w:kern w:val="2"/>
          <w:sz w:val="32"/>
          <w:szCs w:val="32"/>
          <w:highlight w:val="none"/>
          <w:lang w:val="en-US" w:eastAsia="zh-CN"/>
        </w:rPr>
        <w:t>4</w:t>
      </w:r>
      <w:r>
        <w:rPr>
          <w:rFonts w:hint="eastAsia" w:ascii="仿宋_GB2312" w:hAnsi="仿宋_GB2312" w:eastAsia="仿宋_GB2312" w:cs="仿宋_GB2312"/>
          <w:b w:val="0"/>
          <w:bCs w:val="0"/>
          <w:snapToGrid/>
          <w:color w:val="auto"/>
          <w:kern w:val="2"/>
          <w:sz w:val="32"/>
          <w:szCs w:val="32"/>
          <w:highlight w:val="none"/>
          <w:lang w:val="en-US" w:eastAsia="zh-CN"/>
        </w:rPr>
        <w:t>）区卫生健康局：负责组织、协调和指导做好灾区伤病员医疗救治和卫生防疫等工作，必要时组织医疗专家协助当地进行救治；组织医务人员参加森林防灭火演练。</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15</w:t>
      </w:r>
      <w:r>
        <w:rPr>
          <w:rFonts w:hint="eastAsia" w:ascii="仿宋_GB2312" w:hAnsi="仿宋_GB2312" w:eastAsia="仿宋_GB2312" w:cs="仿宋_GB2312"/>
          <w:b w:val="0"/>
          <w:bCs w:val="0"/>
          <w:snapToGrid/>
          <w:color w:val="auto"/>
          <w:kern w:val="2"/>
          <w:sz w:val="32"/>
          <w:szCs w:val="32"/>
          <w:highlight w:val="none"/>
          <w:lang w:val="en-US" w:eastAsia="zh-CN"/>
        </w:rPr>
        <w:t>）区气象局：会同区应急管理局、区林业和园林局根据森林防火需要，建设森林火险监测台站和预报预警平台，做好林火卫星监测和森林火险天气等级预测预报，并综合考虑气象因子和林情、民情及重要活动保障需要，确定和发布森林火险等级预警信息；发生森林火灾时，及时提供火灾地区天气预报和火场天气实况服务，并根据天气条件协调做好人工增雨作业。</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16</w:t>
      </w:r>
      <w:r>
        <w:rPr>
          <w:rFonts w:hint="eastAsia" w:ascii="仿宋_GB2312" w:hAnsi="仿宋_GB2312" w:eastAsia="仿宋_GB2312" w:cs="仿宋_GB2312"/>
          <w:b w:val="0"/>
          <w:bCs w:val="0"/>
          <w:snapToGrid/>
          <w:color w:val="auto"/>
          <w:kern w:val="2"/>
          <w:sz w:val="32"/>
          <w:szCs w:val="32"/>
          <w:highlight w:val="none"/>
          <w:lang w:val="en-US" w:eastAsia="zh-CN"/>
        </w:rPr>
        <w:t>）区消防救援大队：负责组织、指挥消防救援队伍参与扑火救灾工作。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17</w:t>
      </w:r>
      <w:r>
        <w:rPr>
          <w:rFonts w:hint="eastAsia" w:ascii="仿宋_GB2312" w:hAnsi="仿宋_GB2312" w:eastAsia="仿宋_GB2312" w:cs="仿宋_GB2312"/>
          <w:b w:val="0"/>
          <w:bCs w:val="0"/>
          <w:snapToGrid/>
          <w:color w:val="auto"/>
          <w:kern w:val="2"/>
          <w:sz w:val="32"/>
          <w:szCs w:val="32"/>
          <w:highlight w:val="none"/>
          <w:lang w:val="en-US" w:eastAsia="zh-CN"/>
        </w:rPr>
        <w:t>）区人民武装部：负责协调驻地部队做好军事禁区及辖区内的森林防火工作；组织、协调驻地解放军、民兵预备役部队参与扑火救灾工作。</w:t>
      </w:r>
    </w:p>
    <w:p>
      <w:pPr>
        <w:keepNext w:val="0"/>
        <w:keepLines w:val="0"/>
        <w:pageBreakBefore w:val="0"/>
        <w:widowControl w:val="0"/>
        <w:kinsoku/>
        <w:wordWrap/>
        <w:overflowPunct/>
        <w:topLinePunct w:val="0"/>
        <w:autoSpaceDE/>
        <w:autoSpaceDN/>
        <w:bidi w:val="0"/>
        <w:spacing w:line="570" w:lineRule="exact"/>
        <w:ind w:firstLine="632" w:firstLineChars="200"/>
        <w:jc w:val="both"/>
        <w:textAlignment w:val="auto"/>
        <w:rPr>
          <w:rFonts w:hint="eastAsia" w:ascii="仿宋_GB2312" w:hAnsi="仿宋_GB2312" w:eastAsia="仿宋_GB2312" w:cs="仿宋_GB2312"/>
          <w:b w:val="0"/>
          <w:bCs w:val="0"/>
          <w:snapToGrid/>
          <w:color w:val="auto"/>
          <w:kern w:val="2"/>
          <w:sz w:val="32"/>
          <w:szCs w:val="32"/>
          <w:highlight w:val="none"/>
          <w:lang w:val="en-US" w:eastAsia="zh-CN"/>
        </w:rPr>
      </w:pPr>
      <w:r>
        <w:rPr>
          <w:rFonts w:hint="eastAsia" w:ascii="仿宋_GB2312" w:hAnsi="仿宋_GB2312" w:eastAsia="仿宋_GB2312" w:cs="仿宋_GB2312"/>
          <w:b w:val="0"/>
          <w:bCs w:val="0"/>
          <w:snapToGrid/>
          <w:color w:val="auto"/>
          <w:kern w:val="2"/>
          <w:sz w:val="32"/>
          <w:szCs w:val="32"/>
          <w:highlight w:val="none"/>
          <w:lang w:val="en-US"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18</w:t>
      </w:r>
      <w:r>
        <w:rPr>
          <w:rFonts w:hint="eastAsia" w:ascii="仿宋_GB2312" w:hAnsi="仿宋_GB2312" w:eastAsia="仿宋_GB2312" w:cs="仿宋_GB2312"/>
          <w:b w:val="0"/>
          <w:bCs w:val="0"/>
          <w:snapToGrid/>
          <w:color w:val="auto"/>
          <w:kern w:val="2"/>
          <w:sz w:val="32"/>
          <w:szCs w:val="32"/>
          <w:highlight w:val="none"/>
          <w:lang w:val="en-US" w:eastAsia="zh-CN"/>
        </w:rPr>
        <w:t>）增城供电局：指导、督促管辖单位落实森林防火主体责任，建立森林防火责任制，及时清除塔基和线路沿线的森林火灾隐患；教育引导电力巡查人员遵守野外火源管理规定，协助做好森林防火工作，督促施工单位做好野外工程施工的火灾防范措施；配合树（竹）木产权单位修剪（砍伐）电力线路保护区内的超高树（竹）木。</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各成员单位除承担上述职责外，还应根据扑火救灾工作需要，承担与其职责相关的其他工作。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47" w:name="_Toc1498"/>
      <w:bookmarkStart w:id="48" w:name="_Toc11056"/>
      <w:bookmarkStart w:id="49" w:name="_Toc2495"/>
      <w:bookmarkStart w:id="50" w:name="_Toc2631"/>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4</w:t>
      </w:r>
      <w:r>
        <w:rPr>
          <w:rFonts w:hint="eastAsia" w:ascii="楷体_GB2312" w:hAnsi="楷体_GB2312" w:eastAsia="楷体_GB2312" w:cs="楷体_GB2312"/>
          <w:snapToGrid/>
          <w:color w:val="auto"/>
          <w:kern w:val="2"/>
          <w:highlight w:val="none"/>
        </w:rPr>
        <w:t>专家组</w:t>
      </w:r>
      <w:bookmarkEnd w:id="47"/>
      <w:bookmarkEnd w:id="48"/>
      <w:bookmarkEnd w:id="49"/>
      <w:bookmarkEnd w:id="50"/>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建立健全由应急管理、林业、森林消防、气象、法律、地理信息、通信管理、石油化工等领域的专家、学者和技术人员组成的森林防灭火专家组，负责为应对森林火灾提供专业咨询、理论指导、决策建议和技术支持等。</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lang w:eastAsia="zh-CN"/>
        </w:rPr>
      </w:pPr>
      <w:bookmarkStart w:id="51" w:name="_Toc20604"/>
      <w:bookmarkStart w:id="52" w:name="_Toc12259"/>
      <w:bookmarkStart w:id="53" w:name="_Toc287"/>
      <w:bookmarkStart w:id="54" w:name="_Toc5362"/>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5</w:t>
      </w:r>
      <w:r>
        <w:rPr>
          <w:rFonts w:hint="eastAsia" w:ascii="楷体_GB2312" w:hAnsi="楷体_GB2312" w:eastAsia="楷体_GB2312" w:cs="楷体_GB2312"/>
          <w:snapToGrid/>
          <w:color w:val="auto"/>
          <w:kern w:val="2"/>
          <w:highlight w:val="none"/>
        </w:rPr>
        <w:t>扑火指挥员</w:t>
      </w:r>
      <w:r>
        <w:rPr>
          <w:rFonts w:hint="eastAsia" w:ascii="楷体_GB2312" w:hAnsi="楷体_GB2312" w:eastAsia="楷体_GB2312" w:cs="楷体_GB2312"/>
          <w:snapToGrid/>
          <w:color w:val="auto"/>
          <w:kern w:val="2"/>
          <w:highlight w:val="none"/>
          <w:lang w:eastAsia="zh-CN"/>
        </w:rPr>
        <w:t>库</w:t>
      </w:r>
      <w:bookmarkEnd w:id="51"/>
      <w:bookmarkEnd w:id="52"/>
      <w:bookmarkEnd w:id="53"/>
      <w:bookmarkEnd w:id="54"/>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按照政治觉悟高、责任心强、懂得林火特性，具有丰富实战经验和适合野外作业身体条件等要求作为评定标准，经镇街、应急管理部门和林业部门推荐，同级森防指办公室审核，评定区、镇街扑火指挥员，组建扑火指挥员库</w:t>
      </w:r>
      <w:r>
        <w:rPr>
          <w:rFonts w:hint="eastAsia" w:ascii="仿宋_GB2312" w:hAnsi="仿宋_GB2312" w:eastAsia="仿宋_GB2312" w:cs="仿宋_GB2312"/>
          <w:snapToGrid/>
          <w:color w:val="auto"/>
          <w:kern w:val="2"/>
          <w:sz w:val="32"/>
          <w:szCs w:val="32"/>
          <w:highlight w:val="none"/>
          <w:lang w:eastAsia="zh-CN"/>
        </w:rPr>
        <w:t>，区森防配备</w:t>
      </w:r>
      <w:r>
        <w:rPr>
          <w:rFonts w:hint="eastAsia" w:ascii="Times New Roman" w:hAnsi="Times New Roman" w:eastAsia="仿宋_GB2312" w:cs="仿宋_GB2312"/>
          <w:snapToGrid/>
          <w:color w:val="auto"/>
          <w:kern w:val="2"/>
          <w:sz w:val="32"/>
          <w:szCs w:val="32"/>
          <w:highlight w:val="none"/>
          <w:lang w:val="en-US" w:eastAsia="zh-CN"/>
        </w:rPr>
        <w:t>5</w:t>
      </w:r>
      <w:r>
        <w:rPr>
          <w:rFonts w:hint="eastAsia" w:ascii="仿宋_GB2312" w:hAnsi="仿宋_GB2312" w:eastAsia="仿宋_GB2312" w:cs="仿宋_GB2312"/>
          <w:snapToGrid/>
          <w:color w:val="auto"/>
          <w:kern w:val="2"/>
          <w:sz w:val="32"/>
          <w:szCs w:val="32"/>
          <w:highlight w:val="none"/>
          <w:lang w:val="en-US" w:eastAsia="zh-CN"/>
        </w:rPr>
        <w:t>名扑火指挥员，</w:t>
      </w:r>
      <w:r>
        <w:rPr>
          <w:rFonts w:hint="eastAsia" w:ascii="仿宋_GB2312" w:hAnsi="仿宋_GB2312" w:eastAsia="仿宋_GB2312" w:cs="仿宋_GB2312"/>
          <w:snapToGrid/>
          <w:color w:val="auto"/>
          <w:kern w:val="2"/>
          <w:sz w:val="32"/>
          <w:szCs w:val="32"/>
          <w:highlight w:val="none"/>
          <w:lang w:eastAsia="zh-CN"/>
        </w:rPr>
        <w:t>派潭镇、正果镇等有林地面积超</w:t>
      </w:r>
      <w:r>
        <w:rPr>
          <w:rFonts w:hint="eastAsia" w:ascii="Times New Roman" w:hAnsi="Times New Roman" w:eastAsia="仿宋_GB2312" w:cs="仿宋_GB2312"/>
          <w:snapToGrid/>
          <w:color w:val="auto"/>
          <w:kern w:val="2"/>
          <w:sz w:val="32"/>
          <w:szCs w:val="32"/>
          <w:highlight w:val="none"/>
          <w:lang w:eastAsia="zh-CN"/>
        </w:rPr>
        <w:t>1</w:t>
      </w:r>
      <w:r>
        <w:rPr>
          <w:rFonts w:hint="eastAsia" w:ascii="仿宋_GB2312" w:hAnsi="仿宋_GB2312" w:eastAsia="仿宋_GB2312" w:cs="仿宋_GB2312"/>
          <w:snapToGrid/>
          <w:color w:val="auto"/>
          <w:kern w:val="2"/>
          <w:sz w:val="32"/>
          <w:szCs w:val="32"/>
          <w:highlight w:val="none"/>
          <w:lang w:eastAsia="zh-CN"/>
        </w:rPr>
        <w:t>.</w:t>
      </w:r>
      <w:r>
        <w:rPr>
          <w:rFonts w:hint="eastAsia" w:ascii="Times New Roman" w:hAnsi="Times New Roman" w:eastAsia="仿宋_GB2312" w:cs="仿宋_GB2312"/>
          <w:snapToGrid/>
          <w:color w:val="auto"/>
          <w:kern w:val="2"/>
          <w:sz w:val="32"/>
          <w:szCs w:val="32"/>
          <w:highlight w:val="none"/>
          <w:lang w:eastAsia="zh-CN"/>
        </w:rPr>
        <w:t>5</w:t>
      </w:r>
      <w:r>
        <w:rPr>
          <w:rFonts w:hint="eastAsia" w:ascii="仿宋_GB2312" w:hAnsi="仿宋_GB2312" w:eastAsia="仿宋_GB2312" w:cs="仿宋_GB2312"/>
          <w:snapToGrid/>
          <w:color w:val="auto"/>
          <w:kern w:val="2"/>
          <w:sz w:val="32"/>
          <w:szCs w:val="32"/>
          <w:highlight w:val="none"/>
          <w:lang w:eastAsia="zh-CN"/>
        </w:rPr>
        <w:t>万亩的镇（街）各配备</w:t>
      </w:r>
      <w:r>
        <w:rPr>
          <w:rFonts w:hint="eastAsia" w:ascii="Times New Roman" w:hAnsi="Times New Roman" w:eastAsia="仿宋_GB2312" w:cs="仿宋_GB2312"/>
          <w:snapToGrid/>
          <w:color w:val="auto"/>
          <w:kern w:val="2"/>
          <w:sz w:val="32"/>
          <w:szCs w:val="32"/>
          <w:highlight w:val="none"/>
          <w:lang w:eastAsia="zh-CN"/>
        </w:rPr>
        <w:t>3</w:t>
      </w:r>
      <w:r>
        <w:rPr>
          <w:rFonts w:hint="eastAsia" w:ascii="仿宋_GB2312" w:hAnsi="仿宋_GB2312" w:eastAsia="仿宋_GB2312" w:cs="仿宋_GB2312"/>
          <w:snapToGrid/>
          <w:color w:val="auto"/>
          <w:kern w:val="2"/>
          <w:sz w:val="32"/>
          <w:szCs w:val="32"/>
          <w:highlight w:val="none"/>
          <w:lang w:eastAsia="zh-CN"/>
        </w:rPr>
        <w:t>名扑火指挥员，荔城街、新塘镇等有林地面积不足</w:t>
      </w:r>
      <w:r>
        <w:rPr>
          <w:rFonts w:hint="eastAsia" w:ascii="Times New Roman" w:hAnsi="Times New Roman" w:eastAsia="仿宋_GB2312" w:cs="仿宋_GB2312"/>
          <w:snapToGrid/>
          <w:color w:val="auto"/>
          <w:kern w:val="2"/>
          <w:sz w:val="32"/>
          <w:szCs w:val="32"/>
          <w:highlight w:val="none"/>
          <w:lang w:eastAsia="zh-CN"/>
        </w:rPr>
        <w:t>1</w:t>
      </w:r>
      <w:r>
        <w:rPr>
          <w:rFonts w:hint="eastAsia" w:ascii="仿宋_GB2312" w:hAnsi="仿宋_GB2312" w:eastAsia="仿宋_GB2312" w:cs="仿宋_GB2312"/>
          <w:snapToGrid/>
          <w:color w:val="auto"/>
          <w:kern w:val="2"/>
          <w:sz w:val="32"/>
          <w:szCs w:val="32"/>
          <w:highlight w:val="none"/>
          <w:lang w:eastAsia="zh-CN"/>
        </w:rPr>
        <w:t>万亩的镇（街）各配备</w:t>
      </w:r>
      <w:r>
        <w:rPr>
          <w:rFonts w:hint="eastAsia" w:ascii="Times New Roman" w:hAnsi="Times New Roman" w:eastAsia="仿宋_GB2312" w:cs="仿宋_GB2312"/>
          <w:snapToGrid/>
          <w:color w:val="auto"/>
          <w:kern w:val="2"/>
          <w:sz w:val="32"/>
          <w:szCs w:val="32"/>
          <w:highlight w:val="none"/>
          <w:lang w:eastAsia="zh-CN"/>
        </w:rPr>
        <w:t>2</w:t>
      </w:r>
      <w:r>
        <w:rPr>
          <w:rFonts w:hint="eastAsia" w:ascii="仿宋_GB2312" w:hAnsi="仿宋_GB2312" w:eastAsia="仿宋_GB2312" w:cs="仿宋_GB2312"/>
          <w:snapToGrid/>
          <w:color w:val="auto"/>
          <w:kern w:val="2"/>
          <w:sz w:val="32"/>
          <w:szCs w:val="32"/>
          <w:highlight w:val="none"/>
          <w:lang w:eastAsia="zh-CN"/>
        </w:rPr>
        <w:t>名扑火指挥员，且需熟悉辖区内山区步道、水库周边林区等特殊地形扑救技巧</w:t>
      </w:r>
      <w:r>
        <w:rPr>
          <w:rFonts w:hint="eastAsia" w:ascii="仿宋_GB2312" w:hAnsi="仿宋_GB2312" w:eastAsia="仿宋_GB2312" w:cs="仿宋_GB2312"/>
          <w:snapToGrid/>
          <w:color w:val="auto"/>
          <w:kern w:val="2"/>
          <w:sz w:val="32"/>
          <w:szCs w:val="32"/>
          <w:highlight w:val="none"/>
        </w:rPr>
        <w:t>。</w:t>
      </w:r>
      <w:r>
        <w:rPr>
          <w:rFonts w:hint="eastAsia" w:ascii="仿宋_GB2312" w:hAnsi="仿宋_GB2312" w:eastAsia="仿宋_GB2312" w:cs="仿宋_GB2312"/>
          <w:snapToGrid/>
          <w:color w:val="auto"/>
          <w:kern w:val="2"/>
          <w:sz w:val="32"/>
          <w:highlight w:val="none"/>
        </w:rPr>
        <w:t>每</w:t>
      </w:r>
      <w:r>
        <w:rPr>
          <w:rFonts w:hint="eastAsia" w:ascii="Times New Roman" w:hAnsi="Times New Roman" w:eastAsia="仿宋_GB2312" w:cs="仿宋_GB2312"/>
          <w:snapToGrid/>
          <w:color w:val="auto"/>
          <w:kern w:val="2"/>
          <w:sz w:val="32"/>
          <w:highlight w:val="none"/>
        </w:rPr>
        <w:t>2</w:t>
      </w:r>
      <w:r>
        <w:rPr>
          <w:rFonts w:hint="eastAsia" w:ascii="仿宋_GB2312" w:hAnsi="仿宋_GB2312" w:eastAsia="仿宋_GB2312" w:cs="仿宋_GB2312"/>
          <w:snapToGrid/>
          <w:color w:val="auto"/>
          <w:kern w:val="2"/>
          <w:sz w:val="32"/>
          <w:highlight w:val="none"/>
        </w:rPr>
        <w:t>年根据工作实际组织</w:t>
      </w:r>
      <w:r>
        <w:rPr>
          <w:rFonts w:hint="eastAsia" w:ascii="仿宋_GB2312" w:hAnsi="仿宋_GB2312" w:eastAsia="仿宋_GB2312" w:cs="仿宋_GB2312"/>
          <w:snapToGrid/>
          <w:color w:val="auto"/>
          <w:kern w:val="2"/>
          <w:sz w:val="32"/>
          <w:szCs w:val="32"/>
          <w:highlight w:val="none"/>
        </w:rPr>
        <w:t>遴选</w:t>
      </w:r>
      <w:r>
        <w:rPr>
          <w:rFonts w:hint="eastAsia" w:ascii="仿宋_GB2312" w:hAnsi="仿宋_GB2312" w:eastAsia="仿宋_GB2312" w:cs="仿宋_GB2312"/>
          <w:snapToGrid/>
          <w:color w:val="auto"/>
          <w:kern w:val="2"/>
          <w:sz w:val="32"/>
          <w:highlight w:val="none"/>
        </w:rPr>
        <w:t>一次。</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szCs w:val="32"/>
          <w:highlight w:val="none"/>
        </w:rPr>
        <w:t>森林火灾应急处置现场有多名同级扑火指挥员时，按照扑火指挥员行政级别由高到低顺序梯次担任或由现场总指挥指定，确定启动相应响应级别的扑火指挥员。</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55" w:name="_Toc31126"/>
      <w:bookmarkStart w:id="56" w:name="_Toc5698"/>
      <w:bookmarkStart w:id="57" w:name="_Toc29432"/>
      <w:bookmarkStart w:id="58" w:name="_Toc32338"/>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6</w:t>
      </w:r>
      <w:r>
        <w:rPr>
          <w:rFonts w:hint="eastAsia" w:ascii="楷体_GB2312" w:hAnsi="楷体_GB2312" w:eastAsia="楷体_GB2312" w:cs="楷体_GB2312"/>
          <w:snapToGrid/>
          <w:color w:val="auto"/>
          <w:kern w:val="2"/>
          <w:highlight w:val="none"/>
          <w:lang w:eastAsia="zh-CN"/>
        </w:rPr>
        <w:t>基层</w:t>
      </w:r>
      <w:r>
        <w:rPr>
          <w:rFonts w:hint="eastAsia" w:ascii="楷体_GB2312" w:hAnsi="楷体_GB2312" w:eastAsia="楷体_GB2312" w:cs="楷体_GB2312"/>
          <w:snapToGrid/>
          <w:color w:val="auto"/>
          <w:kern w:val="2"/>
          <w:highlight w:val="none"/>
        </w:rPr>
        <w:t>森林防灭火指挥机构</w:t>
      </w:r>
      <w:bookmarkEnd w:id="55"/>
      <w:bookmarkEnd w:id="56"/>
      <w:bookmarkEnd w:id="57"/>
      <w:bookmarkEnd w:id="58"/>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lang w:eastAsia="zh-CN"/>
        </w:rPr>
        <w:t>各镇街、国有林场、森林公园、风景名胜区，以及有关森林经营主体单位，均</w:t>
      </w:r>
      <w:r>
        <w:rPr>
          <w:rFonts w:hint="eastAsia" w:ascii="仿宋_GB2312" w:hAnsi="仿宋_GB2312" w:eastAsia="仿宋_GB2312" w:cs="仿宋_GB2312"/>
          <w:snapToGrid/>
          <w:color w:val="auto"/>
          <w:kern w:val="2"/>
          <w:sz w:val="32"/>
          <w:highlight w:val="none"/>
        </w:rPr>
        <w:t>需设立森林防灭火指挥机构</w:t>
      </w:r>
      <w:r>
        <w:rPr>
          <w:rFonts w:hint="eastAsia" w:ascii="仿宋_GB2312" w:hAnsi="仿宋_GB2312" w:eastAsia="仿宋_GB2312" w:cs="仿宋_GB2312"/>
          <w:snapToGrid/>
          <w:color w:val="auto"/>
          <w:kern w:val="2"/>
          <w:sz w:val="32"/>
          <w:highlight w:val="none"/>
          <w:lang w:eastAsia="zh-CN"/>
        </w:rPr>
        <w:t>，</w:t>
      </w:r>
      <w:r>
        <w:rPr>
          <w:rFonts w:hint="eastAsia" w:ascii="仿宋_GB2312" w:hAnsi="仿宋_GB2312" w:eastAsia="仿宋_GB2312" w:cs="仿宋_GB2312"/>
          <w:snapToGrid/>
          <w:color w:val="auto"/>
          <w:kern w:val="2"/>
          <w:sz w:val="32"/>
          <w:highlight w:val="none"/>
        </w:rPr>
        <w:t>制定</w:t>
      </w:r>
      <w:r>
        <w:rPr>
          <w:rFonts w:hint="eastAsia" w:ascii="仿宋_GB2312" w:hAnsi="仿宋_GB2312" w:eastAsia="仿宋_GB2312" w:cs="仿宋_GB2312"/>
          <w:snapToGrid/>
          <w:color w:val="auto"/>
          <w:kern w:val="2"/>
          <w:sz w:val="32"/>
          <w:highlight w:val="none"/>
          <w:lang w:eastAsia="zh-CN"/>
        </w:rPr>
        <w:t>相关</w:t>
      </w:r>
      <w:r>
        <w:rPr>
          <w:rFonts w:hint="eastAsia" w:ascii="仿宋_GB2312" w:hAnsi="仿宋_GB2312" w:eastAsia="仿宋_GB2312" w:cs="仿宋_GB2312"/>
          <w:snapToGrid/>
          <w:color w:val="auto"/>
          <w:kern w:val="2"/>
          <w:sz w:val="32"/>
          <w:highlight w:val="none"/>
        </w:rPr>
        <w:t>森林防灭火预案，</w:t>
      </w:r>
      <w:r>
        <w:rPr>
          <w:rFonts w:hint="eastAsia" w:ascii="仿宋_GB2312" w:hAnsi="仿宋_GB2312" w:eastAsia="仿宋_GB2312" w:cs="仿宋_GB2312"/>
          <w:snapToGrid/>
          <w:color w:val="auto"/>
          <w:kern w:val="2"/>
          <w:sz w:val="32"/>
          <w:highlight w:val="none"/>
          <w:lang w:eastAsia="zh-CN"/>
        </w:rPr>
        <w:t>开展本辖区、本单位的</w:t>
      </w:r>
      <w:r>
        <w:rPr>
          <w:rFonts w:hint="eastAsia" w:ascii="仿宋_GB2312" w:hAnsi="仿宋_GB2312" w:eastAsia="仿宋_GB2312" w:cs="仿宋_GB2312"/>
          <w:snapToGrid/>
          <w:color w:val="auto"/>
          <w:kern w:val="2"/>
          <w:sz w:val="32"/>
          <w:highlight w:val="none"/>
        </w:rPr>
        <w:t>森林防</w:t>
      </w:r>
      <w:r>
        <w:rPr>
          <w:rFonts w:hint="eastAsia" w:ascii="仿宋_GB2312" w:hAnsi="仿宋_GB2312" w:eastAsia="仿宋_GB2312" w:cs="仿宋_GB2312"/>
          <w:snapToGrid/>
          <w:color w:val="auto"/>
          <w:kern w:val="2"/>
          <w:sz w:val="32"/>
          <w:highlight w:val="none"/>
          <w:lang w:eastAsia="zh-CN"/>
        </w:rPr>
        <w:t>灭</w:t>
      </w:r>
      <w:r>
        <w:rPr>
          <w:rFonts w:hint="eastAsia" w:ascii="仿宋_GB2312" w:hAnsi="仿宋_GB2312" w:eastAsia="仿宋_GB2312" w:cs="仿宋_GB2312"/>
          <w:snapToGrid/>
          <w:color w:val="auto"/>
          <w:kern w:val="2"/>
          <w:sz w:val="32"/>
          <w:highlight w:val="none"/>
        </w:rPr>
        <w:t>火工作。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59" w:name="_Toc16527"/>
      <w:bookmarkStart w:id="60" w:name="_Toc24900"/>
      <w:bookmarkStart w:id="61" w:name="_Toc17674"/>
      <w:bookmarkStart w:id="62" w:name="_Toc16825"/>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7</w:t>
      </w:r>
      <w:r>
        <w:rPr>
          <w:rFonts w:hint="eastAsia" w:ascii="楷体_GB2312" w:hAnsi="楷体_GB2312" w:eastAsia="楷体_GB2312" w:cs="楷体_GB2312"/>
          <w:snapToGrid/>
          <w:color w:val="auto"/>
          <w:kern w:val="2"/>
          <w:highlight w:val="none"/>
        </w:rPr>
        <w:t>应急处置指挥机构</w:t>
      </w:r>
      <w:bookmarkEnd w:id="59"/>
      <w:bookmarkEnd w:id="60"/>
      <w:bookmarkEnd w:id="61"/>
      <w:bookmarkEnd w:id="62"/>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63" w:name="_Toc26096"/>
      <w:bookmarkStart w:id="64" w:name="_Toc11353"/>
      <w:bookmarkStart w:id="65" w:name="_Toc17429"/>
      <w:bookmarkStart w:id="66" w:name="_Toc6451"/>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7</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机构设置</w:t>
      </w:r>
      <w:bookmarkEnd w:id="63"/>
      <w:bookmarkEnd w:id="64"/>
      <w:bookmarkEnd w:id="65"/>
      <w:bookmarkEnd w:id="66"/>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highlight w:val="none"/>
        </w:rPr>
        <w:t>森林火灾发生后，</w:t>
      </w:r>
      <w:r>
        <w:rPr>
          <w:rFonts w:hint="eastAsia" w:ascii="仿宋_GB2312" w:hAnsi="仿宋_GB2312" w:eastAsia="仿宋_GB2312" w:cs="仿宋_GB2312"/>
          <w:snapToGrid/>
          <w:color w:val="auto"/>
          <w:kern w:val="2"/>
          <w:sz w:val="32"/>
          <w:szCs w:val="32"/>
          <w:highlight w:val="none"/>
        </w:rPr>
        <w:t>负责应急处置的森林防灭火指挥机构成立现场指挥部，</w:t>
      </w:r>
      <w:r>
        <w:rPr>
          <w:rFonts w:hint="eastAsia" w:ascii="仿宋_GB2312" w:hAnsi="仿宋_GB2312" w:eastAsia="仿宋_GB2312" w:cs="仿宋_GB2312"/>
          <w:snapToGrid/>
          <w:color w:val="auto"/>
          <w:kern w:val="2"/>
          <w:sz w:val="32"/>
          <w:highlight w:val="none"/>
        </w:rPr>
        <w:t>统一指挥和协调现场应急处置工作。</w:t>
      </w:r>
      <w:r>
        <w:rPr>
          <w:rFonts w:hint="eastAsia" w:ascii="仿宋_GB2312" w:hAnsi="仿宋_GB2312" w:eastAsia="仿宋_GB2312" w:cs="仿宋_GB2312"/>
          <w:snapToGrid/>
          <w:color w:val="auto"/>
          <w:kern w:val="2"/>
          <w:sz w:val="32"/>
          <w:szCs w:val="32"/>
          <w:highlight w:val="none"/>
        </w:rPr>
        <w:t>并根据扑火救灾需要设置综合协调组、火灾扑救组、治安疏散组、后勤保障组、医疗救护组、信息发布组等工作小组。</w:t>
      </w:r>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67" w:name="_Toc4023"/>
      <w:bookmarkStart w:id="68" w:name="_Toc15353"/>
      <w:bookmarkStart w:id="69" w:name="_Toc10394"/>
      <w:bookmarkStart w:id="70" w:name="_Toc4689"/>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7</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指挥原则</w:t>
      </w:r>
      <w:bookmarkEnd w:id="67"/>
      <w:bookmarkEnd w:id="68"/>
      <w:bookmarkEnd w:id="69"/>
      <w:bookmarkEnd w:id="70"/>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现场指挥部实行现场总指挥负责制。现场总指挥有权指挥调度现场应急救援队伍和应急资源。现场总指挥的级别应根据森林火灾应急响应等级变化及时进行调整。现场总指挥</w:t>
      </w:r>
      <w:r>
        <w:rPr>
          <w:rFonts w:hint="eastAsia" w:ascii="仿宋_GB2312" w:hAnsi="仿宋_GB2312" w:eastAsia="仿宋_GB2312" w:cs="仿宋_GB2312"/>
          <w:snapToGrid/>
          <w:color w:val="auto"/>
          <w:kern w:val="2"/>
          <w:sz w:val="32"/>
          <w:highlight w:val="none"/>
          <w:lang w:eastAsia="zh-CN"/>
        </w:rPr>
        <w:t>指定</w:t>
      </w:r>
      <w:r>
        <w:rPr>
          <w:rFonts w:hint="eastAsia" w:ascii="仿宋_GB2312" w:hAnsi="仿宋_GB2312" w:eastAsia="仿宋_GB2312" w:cs="仿宋_GB2312"/>
          <w:snapToGrid/>
          <w:color w:val="auto"/>
          <w:kern w:val="2"/>
          <w:sz w:val="32"/>
          <w:highlight w:val="none"/>
        </w:rPr>
        <w:t>扑火指挥员，具体负责森林火灾扑救工作。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71" w:name="_Toc1061"/>
      <w:bookmarkStart w:id="72" w:name="_Toc6897"/>
      <w:bookmarkStart w:id="73" w:name="_Toc2161"/>
      <w:bookmarkStart w:id="74" w:name="_Toc27155"/>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7</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3</w:t>
      </w:r>
      <w:r>
        <w:rPr>
          <w:rFonts w:hint="eastAsia" w:ascii="仿宋_GB2312" w:hAnsi="仿宋_GB2312" w:eastAsia="仿宋_GB2312" w:cs="仿宋_GB2312"/>
          <w:snapToGrid/>
          <w:color w:val="auto"/>
          <w:kern w:val="2"/>
          <w:highlight w:val="none"/>
        </w:rPr>
        <w:t>指挥关系</w:t>
      </w:r>
      <w:bookmarkEnd w:id="71"/>
      <w:bookmarkEnd w:id="72"/>
      <w:bookmarkEnd w:id="73"/>
      <w:bookmarkEnd w:id="74"/>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现场总指挥：主要承担行政指挥，组织、协调、指挥本级所有资源参与森林火灾应急处置工作。</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扑火指挥员：在现场总指挥的领导下承担扑火指挥工作。具体负责应急力量的编成和确定队伍部署、扑火方法、接火行进路线等火灾应急处置工作。可根据林相、地形、风力等突发险情，有权临时决定扑火队伍行动。</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上级工作组：主要做好森林火灾应急处置的</w:t>
      </w:r>
      <w:r>
        <w:rPr>
          <w:rFonts w:hint="eastAsia" w:ascii="仿宋_GB2312" w:hAnsi="仿宋_GB2312" w:eastAsia="仿宋_GB2312" w:cs="仿宋_GB2312"/>
          <w:snapToGrid/>
          <w:color w:val="auto"/>
          <w:kern w:val="2"/>
          <w:sz w:val="32"/>
          <w:szCs w:val="32"/>
          <w:highlight w:val="none"/>
        </w:rPr>
        <w:t>指导、协调工作</w:t>
      </w:r>
      <w:r>
        <w:rPr>
          <w:rFonts w:hint="eastAsia" w:ascii="仿宋_GB2312" w:hAnsi="仿宋_GB2312" w:eastAsia="仿宋_GB2312" w:cs="仿宋_GB2312"/>
          <w:snapToGrid/>
          <w:color w:val="auto"/>
          <w:kern w:val="2"/>
          <w:sz w:val="32"/>
          <w:highlight w:val="none"/>
        </w:rPr>
        <w:t>。支持和帮助解决扑火救灾工作困难。</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highlight w:val="none"/>
        </w:rPr>
        <w:t>视频调度：主要是了解森林火灾应急处置情况，传达上级部门和领导指示精神，协调解决现场指挥部扑火救灾工作困难。</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bCs/>
          <w:snapToGrid/>
          <w:color w:val="auto"/>
          <w:kern w:val="2"/>
          <w:highlight w:val="none"/>
        </w:rPr>
      </w:pPr>
      <w:bookmarkStart w:id="75" w:name="_Toc17176"/>
      <w:bookmarkStart w:id="76" w:name="_Toc27059"/>
      <w:bookmarkStart w:id="77" w:name="_Toc29488"/>
      <w:bookmarkStart w:id="78" w:name="_Toc9280"/>
      <w:r>
        <w:rPr>
          <w:rFonts w:hint="eastAsia" w:ascii="Times New Roman" w:hAnsi="Times New Roman" w:eastAsia="黑体" w:cs="黑体"/>
          <w:b w:val="0"/>
          <w:bCs/>
          <w:snapToGrid/>
          <w:color w:val="auto"/>
          <w:kern w:val="2"/>
          <w:highlight w:val="none"/>
          <w:lang w:val="en-US" w:eastAsia="zh-CN"/>
        </w:rPr>
        <w:t>3</w:t>
      </w:r>
      <w:r>
        <w:rPr>
          <w:rFonts w:hint="eastAsia" w:ascii="黑体" w:hAnsi="黑体" w:eastAsia="黑体" w:cs="黑体"/>
          <w:b w:val="0"/>
          <w:bCs/>
          <w:snapToGrid/>
          <w:color w:val="auto"/>
          <w:kern w:val="2"/>
          <w:highlight w:val="none"/>
          <w:lang w:val="en-US" w:eastAsia="zh-CN"/>
        </w:rPr>
        <w:t>.</w:t>
      </w:r>
      <w:r>
        <w:rPr>
          <w:rFonts w:hint="eastAsia" w:ascii="黑体" w:hAnsi="黑体" w:eastAsia="黑体" w:cs="黑体"/>
          <w:b w:val="0"/>
          <w:bCs/>
          <w:snapToGrid/>
          <w:color w:val="auto"/>
          <w:kern w:val="2"/>
          <w:highlight w:val="none"/>
        </w:rPr>
        <w:t>应急处置力量</w:t>
      </w:r>
      <w:bookmarkEnd w:id="75"/>
      <w:bookmarkEnd w:id="76"/>
      <w:bookmarkEnd w:id="77"/>
      <w:bookmarkEnd w:id="78"/>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79" w:name="_Toc28394"/>
      <w:bookmarkStart w:id="80" w:name="_Toc416"/>
      <w:bookmarkStart w:id="81" w:name="_Toc29227"/>
      <w:bookmarkStart w:id="82" w:name="_Toc714"/>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救援力量</w:t>
      </w:r>
      <w:r>
        <w:rPr>
          <w:rFonts w:hint="eastAsia" w:ascii="楷体_GB2312" w:hAnsi="楷体_GB2312" w:eastAsia="楷体_GB2312" w:cs="楷体_GB2312"/>
          <w:snapToGrid/>
          <w:color w:val="auto"/>
          <w:kern w:val="2"/>
          <w:highlight w:val="none"/>
          <w:lang w:eastAsia="zh-CN"/>
        </w:rPr>
        <w:t>组</w:t>
      </w:r>
      <w:r>
        <w:rPr>
          <w:rFonts w:hint="eastAsia" w:ascii="楷体_GB2312" w:hAnsi="楷体_GB2312" w:eastAsia="楷体_GB2312" w:cs="楷体_GB2312"/>
          <w:snapToGrid/>
          <w:color w:val="auto"/>
          <w:kern w:val="2"/>
          <w:highlight w:val="none"/>
        </w:rPr>
        <w:t>成</w:t>
      </w:r>
      <w:bookmarkEnd w:id="79"/>
      <w:bookmarkEnd w:id="80"/>
      <w:bookmarkEnd w:id="81"/>
      <w:bookmarkEnd w:id="82"/>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lang w:eastAsia="zh-CN"/>
        </w:rPr>
      </w:pPr>
      <w:r>
        <w:rPr>
          <w:rFonts w:hint="eastAsia" w:ascii="仿宋_GB2312" w:hAnsi="仿宋_GB2312" w:eastAsia="仿宋_GB2312" w:cs="仿宋_GB2312"/>
          <w:snapToGrid/>
          <w:color w:val="auto"/>
          <w:kern w:val="2"/>
          <w:sz w:val="32"/>
          <w:highlight w:val="none"/>
        </w:rPr>
        <w:t>第一梯队</w:t>
      </w:r>
      <w:r>
        <w:rPr>
          <w:rFonts w:hint="eastAsia" w:ascii="仿宋_GB2312" w:hAnsi="仿宋_GB2312" w:eastAsia="仿宋_GB2312" w:cs="仿宋_GB2312"/>
          <w:snapToGrid/>
          <w:color w:val="auto"/>
          <w:kern w:val="2"/>
          <w:sz w:val="32"/>
          <w:highlight w:val="none"/>
          <w:lang w:eastAsia="zh-CN"/>
        </w:rPr>
        <w:t>：镇街、国有林场、森林公园、风景名胜区，以及有关森林经营主体单位</w:t>
      </w:r>
      <w:r>
        <w:rPr>
          <w:rFonts w:hint="eastAsia" w:ascii="仿宋_GB2312" w:hAnsi="仿宋_GB2312" w:eastAsia="仿宋_GB2312" w:cs="仿宋_GB2312"/>
          <w:snapToGrid/>
          <w:color w:val="auto"/>
          <w:kern w:val="2"/>
          <w:sz w:val="32"/>
          <w:highlight w:val="none"/>
        </w:rPr>
        <w:t>组建的专业（半专业）森林消防队伍</w:t>
      </w:r>
      <w:r>
        <w:rPr>
          <w:rFonts w:hint="eastAsia" w:ascii="仿宋_GB2312" w:hAnsi="仿宋_GB2312" w:eastAsia="仿宋_GB2312" w:cs="仿宋_GB2312"/>
          <w:snapToGrid/>
          <w:color w:val="auto"/>
          <w:kern w:val="2"/>
          <w:sz w:val="32"/>
          <w:highlight w:val="none"/>
          <w:lang w:eastAsia="zh-CN"/>
        </w:rPr>
        <w:t>，负责初发火情扑救。</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lang w:eastAsia="zh-CN"/>
        </w:rPr>
      </w:pPr>
      <w:r>
        <w:rPr>
          <w:rFonts w:hint="eastAsia" w:ascii="仿宋_GB2312" w:hAnsi="仿宋_GB2312" w:eastAsia="仿宋_GB2312" w:cs="仿宋_GB2312"/>
          <w:snapToGrid/>
          <w:color w:val="auto"/>
          <w:kern w:val="2"/>
          <w:sz w:val="32"/>
          <w:highlight w:val="none"/>
        </w:rPr>
        <w:t>第二梯队</w:t>
      </w:r>
      <w:r>
        <w:rPr>
          <w:rFonts w:hint="eastAsia" w:ascii="仿宋_GB2312" w:hAnsi="仿宋_GB2312" w:eastAsia="仿宋_GB2312" w:cs="仿宋_GB2312"/>
          <w:snapToGrid/>
          <w:color w:val="auto"/>
          <w:kern w:val="2"/>
          <w:sz w:val="32"/>
          <w:highlight w:val="none"/>
          <w:lang w:eastAsia="zh-CN"/>
        </w:rPr>
        <w:t>：区森林消防大队、区人民武装部民兵预备役、区消防救援大队，负责跨镇街增援。</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snapToGrid/>
          <w:color w:val="auto"/>
          <w:kern w:val="2"/>
          <w:sz w:val="32"/>
          <w:highlight w:val="none"/>
          <w:lang w:eastAsia="zh-CN"/>
        </w:rPr>
      </w:pPr>
      <w:r>
        <w:rPr>
          <w:rFonts w:hint="eastAsia" w:ascii="仿宋_GB2312" w:hAnsi="仿宋_GB2312" w:eastAsia="仿宋_GB2312" w:cs="仿宋_GB2312"/>
          <w:snapToGrid/>
          <w:color w:val="auto"/>
          <w:kern w:val="2"/>
          <w:sz w:val="32"/>
          <w:highlight w:val="none"/>
        </w:rPr>
        <w:t>动员镇街干部职工、村居干部群众和社会应急力量等非专业力量组建应急保障力量，协助专业森林消防队伍做好扑火救灾工作。</w:t>
      </w:r>
      <w:r>
        <w:rPr>
          <w:rFonts w:hint="eastAsia" w:ascii="仿宋_GB2312" w:hAnsi="仿宋_GB2312" w:eastAsia="仿宋_GB2312" w:cs="仿宋_GB2312"/>
          <w:snapToGrid/>
          <w:color w:val="auto"/>
          <w:kern w:val="2"/>
          <w:sz w:val="32"/>
          <w:highlight w:val="none"/>
          <w:lang w:eastAsia="zh-CN"/>
        </w:rPr>
        <w:t>不得动员残疾人、孕妇和未成年人以及其他不适宜参加森林火灾扑救的人员参加扑火救灾工作。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83" w:name="_Toc861"/>
      <w:bookmarkStart w:id="84" w:name="_Toc647"/>
      <w:bookmarkStart w:id="85" w:name="_Toc5403"/>
      <w:bookmarkStart w:id="86" w:name="_Toc7997"/>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增援力量组成</w:t>
      </w:r>
      <w:bookmarkEnd w:id="83"/>
      <w:bookmarkEnd w:id="84"/>
      <w:bookmarkEnd w:id="85"/>
      <w:bookmarkEnd w:id="86"/>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如事发地扑火力量不足</w:t>
      </w:r>
      <w:r>
        <w:rPr>
          <w:rFonts w:hint="eastAsia" w:ascii="仿宋_GB2312" w:hAnsi="仿宋_GB2312" w:eastAsia="仿宋_GB2312" w:cs="仿宋_GB2312"/>
          <w:snapToGrid/>
          <w:color w:val="auto"/>
          <w:kern w:val="2"/>
          <w:sz w:val="32"/>
          <w:highlight w:val="none"/>
          <w:lang w:eastAsia="zh-CN"/>
        </w:rPr>
        <w:t>需增援时，统一调度相邻镇街、国有林场扑火队伍，以及区森林消防专业队伍、区消防救援队（站）应急力量增援。</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87" w:name="_Toc14017"/>
      <w:bookmarkStart w:id="88" w:name="_Toc27079"/>
      <w:bookmarkStart w:id="89" w:name="_Toc22223"/>
      <w:bookmarkStart w:id="90" w:name="_Toc28444"/>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lang w:val="en-US" w:eastAsia="zh-CN"/>
        </w:rPr>
        <w:t>区内</w:t>
      </w:r>
      <w:r>
        <w:rPr>
          <w:rFonts w:hint="eastAsia" w:ascii="楷体_GB2312" w:hAnsi="楷体_GB2312" w:eastAsia="楷体_GB2312" w:cs="楷体_GB2312"/>
          <w:snapToGrid/>
          <w:color w:val="auto"/>
          <w:kern w:val="2"/>
          <w:highlight w:val="none"/>
        </w:rPr>
        <w:t>增援力量调动</w:t>
      </w:r>
      <w:bookmarkEnd w:id="87"/>
      <w:bookmarkEnd w:id="88"/>
      <w:bookmarkEnd w:id="89"/>
      <w:bookmarkEnd w:id="90"/>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lang w:eastAsia="zh-CN"/>
        </w:rPr>
      </w:pPr>
      <w:r>
        <w:rPr>
          <w:rFonts w:hint="eastAsia" w:ascii="仿宋_GB2312" w:hAnsi="仿宋_GB2312" w:eastAsia="仿宋_GB2312" w:cs="仿宋_GB2312"/>
          <w:snapToGrid/>
          <w:color w:val="auto"/>
          <w:kern w:val="2"/>
          <w:sz w:val="32"/>
          <w:highlight w:val="none"/>
          <w:lang w:eastAsia="zh-CN"/>
        </w:rPr>
        <w:t>扑火</w:t>
      </w:r>
      <w:r>
        <w:rPr>
          <w:rFonts w:hint="eastAsia" w:ascii="仿宋_GB2312" w:hAnsi="仿宋_GB2312" w:eastAsia="仿宋_GB2312" w:cs="仿宋_GB2312"/>
          <w:snapToGrid/>
          <w:color w:val="auto"/>
          <w:kern w:val="2"/>
          <w:sz w:val="32"/>
          <w:highlight w:val="none"/>
        </w:rPr>
        <w:t>队伍的调动。</w:t>
      </w:r>
      <w:r>
        <w:rPr>
          <w:rFonts w:hint="eastAsia" w:ascii="仿宋_GB2312" w:hAnsi="仿宋_GB2312" w:eastAsia="仿宋_GB2312" w:cs="仿宋_GB2312"/>
          <w:snapToGrid/>
          <w:color w:val="auto"/>
          <w:kern w:val="2"/>
          <w:sz w:val="32"/>
          <w:highlight w:val="none"/>
          <w:lang w:eastAsia="zh-CN"/>
        </w:rPr>
        <w:t>当森林火灾处置能力超过事发镇（街）处置能力，需要区森林防灭火指挥部调动全区森林防灭火力量时，由区森防指办公室报请由区应急管理局分管领导兼任的区森防指办公室副主任同意，向调出镇（街）森防指办公室、相关单位下达调动命令，调出镇（街）、相关单位根据调动要求出动增援力量。属地镇（街）负责增援队伍的后勤保障，原则上按增援人数的</w:t>
      </w:r>
      <w:r>
        <w:rPr>
          <w:rFonts w:hint="eastAsia" w:ascii="Times New Roman" w:hAnsi="Times New Roman" w:eastAsia="仿宋_GB2312" w:cs="仿宋_GB2312"/>
          <w:snapToGrid/>
          <w:color w:val="auto"/>
          <w:kern w:val="2"/>
          <w:sz w:val="32"/>
          <w:highlight w:val="none"/>
          <w:lang w:eastAsia="zh-CN"/>
        </w:rPr>
        <w:t>3</w:t>
      </w:r>
      <w:r>
        <w:rPr>
          <w:rFonts w:hint="eastAsia" w:ascii="仿宋_GB2312" w:hAnsi="仿宋_GB2312" w:eastAsia="仿宋_GB2312" w:cs="仿宋_GB2312"/>
          <w:snapToGrid/>
          <w:color w:val="auto"/>
          <w:kern w:val="2"/>
          <w:sz w:val="32"/>
          <w:highlight w:val="none"/>
          <w:lang w:eastAsia="zh-CN"/>
        </w:rPr>
        <w:t>倍准备应急保障力量。</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lang w:val="en-US" w:eastAsia="zh-CN"/>
        </w:rPr>
      </w:pPr>
      <w:bookmarkStart w:id="91" w:name="_Toc18587"/>
      <w:bookmarkStart w:id="92" w:name="_Toc655"/>
      <w:bookmarkStart w:id="93" w:name="_Toc29411"/>
      <w:bookmarkStart w:id="94" w:name="_Toc10350"/>
      <w:r>
        <w:rPr>
          <w:rFonts w:hint="eastAsia" w:ascii="Times New Roman" w:hAnsi="Times New Roman" w:eastAsia="楷体_GB2312" w:cs="楷体_GB2312"/>
          <w:snapToGrid/>
          <w:color w:val="auto"/>
          <w:kern w:val="2"/>
          <w:highlight w:val="none"/>
          <w:lang w:val="en-US" w:eastAsia="zh-CN"/>
        </w:rPr>
        <w:t>3</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4</w:t>
      </w:r>
      <w:r>
        <w:rPr>
          <w:rFonts w:hint="eastAsia" w:ascii="楷体_GB2312" w:hAnsi="楷体_GB2312" w:eastAsia="楷体_GB2312" w:cs="楷体_GB2312"/>
          <w:snapToGrid/>
          <w:color w:val="auto"/>
          <w:kern w:val="2"/>
          <w:highlight w:val="none"/>
          <w:lang w:val="en-US" w:eastAsia="zh-CN"/>
        </w:rPr>
        <w:t>跨区增援调动</w:t>
      </w:r>
      <w:bookmarkEnd w:id="91"/>
      <w:bookmarkEnd w:id="92"/>
      <w:bookmarkEnd w:id="93"/>
      <w:bookmarkEnd w:id="94"/>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lang w:val="en-US" w:eastAsia="zh-CN"/>
        </w:rPr>
      </w:pPr>
      <w:r>
        <w:rPr>
          <w:rFonts w:hint="eastAsia" w:ascii="仿宋_GB2312" w:hAnsi="仿宋_GB2312" w:eastAsia="仿宋_GB2312" w:cs="仿宋_GB2312"/>
          <w:snapToGrid/>
          <w:color w:val="auto"/>
          <w:kern w:val="2"/>
          <w:sz w:val="32"/>
          <w:highlight w:val="none"/>
          <w:lang w:val="en-US" w:eastAsia="zh-CN"/>
        </w:rPr>
        <w:t>根据市森防指办公室调度通知，或相邻区（县）的森防指办</w:t>
      </w:r>
    </w:p>
    <w:p>
      <w:pPr>
        <w:keepNext w:val="0"/>
        <w:keepLines w:val="0"/>
        <w:pageBreakBefore w:val="0"/>
        <w:widowControl w:val="0"/>
        <w:kinsoku/>
        <w:wordWrap/>
        <w:overflowPunct/>
        <w:topLinePunct w:val="0"/>
        <w:autoSpaceDE/>
        <w:autoSpaceDN/>
        <w:bidi w:val="0"/>
        <w:spacing w:line="570" w:lineRule="exact"/>
        <w:textAlignment w:val="auto"/>
        <w:rPr>
          <w:rFonts w:hint="eastAsia" w:ascii="仿宋_GB2312" w:hAnsi="仿宋_GB2312" w:eastAsia="仿宋_GB2312" w:cs="仿宋_GB2312"/>
          <w:snapToGrid/>
          <w:color w:val="auto"/>
          <w:kern w:val="2"/>
          <w:sz w:val="32"/>
          <w:highlight w:val="none"/>
          <w:lang w:val="en-US" w:eastAsia="zh-CN"/>
        </w:rPr>
      </w:pPr>
      <w:r>
        <w:rPr>
          <w:rFonts w:hint="eastAsia" w:ascii="仿宋_GB2312" w:hAnsi="仿宋_GB2312" w:eastAsia="仿宋_GB2312" w:cs="仿宋_GB2312"/>
          <w:snapToGrid/>
          <w:color w:val="auto"/>
          <w:kern w:val="2"/>
          <w:sz w:val="32"/>
          <w:highlight w:val="none"/>
          <w:lang w:val="en-US" w:eastAsia="zh-CN"/>
        </w:rPr>
        <w:t>公室增援请求，由区森防指办公室报请区森防指总指挥同意，统筹调动区内有关扑火力量前往增援。</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bCs/>
          <w:snapToGrid/>
          <w:color w:val="auto"/>
          <w:kern w:val="2"/>
          <w:highlight w:val="none"/>
        </w:rPr>
      </w:pPr>
      <w:bookmarkStart w:id="95" w:name="_Toc14084"/>
      <w:bookmarkStart w:id="96" w:name="_Toc22939"/>
      <w:bookmarkStart w:id="97" w:name="_Toc14108"/>
      <w:bookmarkStart w:id="98" w:name="_Toc1187"/>
      <w:r>
        <w:rPr>
          <w:rFonts w:hint="eastAsia" w:ascii="Times New Roman" w:hAnsi="Times New Roman" w:eastAsia="黑体" w:cs="黑体"/>
          <w:b w:val="0"/>
          <w:bCs/>
          <w:snapToGrid/>
          <w:color w:val="auto"/>
          <w:kern w:val="2"/>
          <w:highlight w:val="none"/>
          <w:lang w:val="en-US" w:eastAsia="zh-CN"/>
        </w:rPr>
        <w:t>4</w:t>
      </w:r>
      <w:r>
        <w:rPr>
          <w:rFonts w:hint="eastAsia" w:ascii="黑体" w:hAnsi="黑体" w:eastAsia="黑体" w:cs="黑体"/>
          <w:b w:val="0"/>
          <w:bCs/>
          <w:snapToGrid/>
          <w:color w:val="auto"/>
          <w:kern w:val="2"/>
          <w:highlight w:val="none"/>
          <w:lang w:val="en-US" w:eastAsia="zh-CN"/>
        </w:rPr>
        <w:t>.</w:t>
      </w:r>
      <w:r>
        <w:rPr>
          <w:rFonts w:hint="eastAsia" w:ascii="黑体" w:hAnsi="黑体" w:eastAsia="黑体" w:cs="黑体"/>
          <w:b w:val="0"/>
          <w:bCs/>
          <w:snapToGrid/>
          <w:color w:val="auto"/>
          <w:kern w:val="2"/>
          <w:highlight w:val="none"/>
        </w:rPr>
        <w:t>森林火险监测预警和响应措施</w:t>
      </w:r>
      <w:bookmarkEnd w:id="95"/>
      <w:bookmarkEnd w:id="96"/>
      <w:bookmarkEnd w:id="97"/>
      <w:bookmarkEnd w:id="98"/>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99" w:name="_Toc9934"/>
      <w:bookmarkStart w:id="100" w:name="_Toc12570"/>
      <w:bookmarkStart w:id="101" w:name="_Toc14859"/>
      <w:bookmarkStart w:id="102" w:name="_Toc31446"/>
      <w:r>
        <w:rPr>
          <w:rFonts w:hint="eastAsia" w:ascii="Times New Roman" w:hAnsi="Times New Roman" w:eastAsia="楷体_GB2312" w:cs="楷体_GB2312"/>
          <w:snapToGrid/>
          <w:color w:val="auto"/>
          <w:kern w:val="2"/>
          <w:highlight w:val="none"/>
          <w:lang w:val="en-US" w:eastAsia="zh-CN"/>
        </w:rPr>
        <w:t>4</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1</w:t>
      </w:r>
      <w:r>
        <w:rPr>
          <w:rFonts w:hint="eastAsia" w:ascii="楷体_GB2312" w:hAnsi="楷体_GB2312" w:eastAsia="楷体_GB2312" w:cs="楷体_GB2312"/>
          <w:snapToGrid/>
          <w:color w:val="auto"/>
          <w:kern w:val="2"/>
          <w:highlight w:val="none"/>
        </w:rPr>
        <w:t>森林火险级别划分</w:t>
      </w:r>
      <w:bookmarkEnd w:id="99"/>
      <w:bookmarkEnd w:id="100"/>
      <w:bookmarkEnd w:id="101"/>
      <w:bookmarkEnd w:id="102"/>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根据森林火险气象条件、林情、民情和重要活动保障需要，</w:t>
      </w:r>
      <w:r>
        <w:rPr>
          <w:rFonts w:hint="eastAsia" w:ascii="仿宋_GB2312" w:hAnsi="仿宋_GB2312" w:eastAsia="仿宋_GB2312" w:cs="仿宋_GB2312"/>
          <w:snapToGrid/>
          <w:color w:val="auto"/>
          <w:kern w:val="2"/>
          <w:sz w:val="32"/>
          <w:highlight w:val="none"/>
          <w:lang w:eastAsia="zh-CN"/>
        </w:rPr>
        <w:t>以及</w:t>
      </w:r>
      <w:r>
        <w:rPr>
          <w:rFonts w:hint="eastAsia" w:ascii="仿宋_GB2312" w:hAnsi="仿宋_GB2312" w:eastAsia="仿宋_GB2312" w:cs="仿宋_GB2312"/>
          <w:snapToGrid/>
          <w:color w:val="auto"/>
          <w:kern w:val="2"/>
          <w:sz w:val="32"/>
          <w:highlight w:val="none"/>
        </w:rPr>
        <w:t>火灾发生规律和可能造成的危害程度，确定森林火险预警等级，预警级别分为</w:t>
      </w:r>
      <w:r>
        <w:rPr>
          <w:rFonts w:hint="eastAsia" w:ascii="Times New Roman" w:hAnsi="Times New Roman" w:eastAsia="仿宋_GB2312" w:cs="仿宋_GB2312"/>
          <w:snapToGrid/>
          <w:color w:val="auto"/>
          <w:kern w:val="2"/>
          <w:sz w:val="32"/>
          <w:highlight w:val="none"/>
          <w:lang w:val="en-US" w:eastAsia="zh-CN"/>
        </w:rPr>
        <w:t>3</w:t>
      </w:r>
      <w:r>
        <w:rPr>
          <w:rFonts w:hint="eastAsia" w:ascii="仿宋_GB2312" w:hAnsi="仿宋_GB2312" w:eastAsia="仿宋_GB2312" w:cs="仿宋_GB2312"/>
          <w:snapToGrid/>
          <w:color w:val="auto"/>
          <w:kern w:val="2"/>
          <w:sz w:val="32"/>
          <w:highlight w:val="none"/>
        </w:rPr>
        <w:t>个等级，由低到高依次用黄色</w:t>
      </w:r>
      <w:r>
        <w:rPr>
          <w:rFonts w:hint="eastAsia" w:ascii="仿宋_GB2312" w:hAnsi="仿宋_GB2312" w:eastAsia="仿宋_GB2312" w:cs="仿宋_GB2312"/>
          <w:snapToGrid/>
          <w:color w:val="auto"/>
          <w:kern w:val="2"/>
          <w:sz w:val="32"/>
          <w:highlight w:val="none"/>
          <w:lang w:eastAsia="zh-CN"/>
        </w:rPr>
        <w:t>、</w:t>
      </w:r>
      <w:r>
        <w:rPr>
          <w:rFonts w:hint="eastAsia" w:ascii="仿宋_GB2312" w:hAnsi="仿宋_GB2312" w:eastAsia="仿宋_GB2312" w:cs="仿宋_GB2312"/>
          <w:snapToGrid/>
          <w:color w:val="auto"/>
          <w:kern w:val="2"/>
          <w:sz w:val="32"/>
          <w:highlight w:val="none"/>
        </w:rPr>
        <w:t>橙色和红色表示。</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lang w:val="en-US" w:eastAsia="zh-CN"/>
        </w:rPr>
      </w:pPr>
      <w:bookmarkStart w:id="103" w:name="_Toc21326"/>
      <w:bookmarkStart w:id="104" w:name="_Toc16717"/>
      <w:bookmarkStart w:id="105" w:name="_Toc19107"/>
      <w:bookmarkStart w:id="106" w:name="_Toc10765"/>
      <w:r>
        <w:rPr>
          <w:rFonts w:hint="eastAsia" w:ascii="Times New Roman" w:hAnsi="Times New Roman" w:cs="楷体_GB2312"/>
          <w:snapToGrid/>
          <w:color w:val="auto"/>
          <w:kern w:val="2"/>
          <w:highlight w:val="none"/>
          <w:lang w:val="en-US" w:eastAsia="zh-CN"/>
        </w:rPr>
        <w:t>4</w:t>
      </w:r>
      <w:r>
        <w:rPr>
          <w:rFonts w:hint="eastAsia" w:ascii="楷体_GB2312" w:hAnsi="楷体_GB2312" w:cs="楷体_GB2312"/>
          <w:snapToGrid/>
          <w:color w:val="auto"/>
          <w:kern w:val="2"/>
          <w:highlight w:val="none"/>
          <w:lang w:val="en-US" w:eastAsia="zh-CN"/>
        </w:rPr>
        <w:t>.</w:t>
      </w:r>
      <w:r>
        <w:rPr>
          <w:rFonts w:hint="eastAsia" w:ascii="Times New Roman" w:hAnsi="Times New Roman" w:cs="楷体_GB2312"/>
          <w:snapToGrid/>
          <w:color w:val="auto"/>
          <w:kern w:val="2"/>
          <w:highlight w:val="none"/>
          <w:lang w:val="en-US" w:eastAsia="zh-CN"/>
        </w:rPr>
        <w:t>2</w:t>
      </w:r>
      <w:r>
        <w:rPr>
          <w:rFonts w:hint="eastAsia" w:ascii="楷体_GB2312" w:hAnsi="楷体_GB2312" w:eastAsia="楷体_GB2312" w:cs="楷体_GB2312"/>
          <w:snapToGrid/>
          <w:color w:val="auto"/>
          <w:kern w:val="2"/>
          <w:highlight w:val="none"/>
          <w:lang w:val="en-US" w:eastAsia="zh-CN"/>
        </w:rPr>
        <w:t>森林火险预警发布</w:t>
      </w:r>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szCs w:val="32"/>
          <w:highlight w:val="none"/>
        </w:rPr>
        <w:t>按照</w:t>
      </w:r>
      <w:r>
        <w:rPr>
          <w:rFonts w:hint="eastAsia" w:ascii="仿宋_GB2312" w:hAnsi="仿宋_GB2312" w:eastAsia="仿宋_GB2312" w:cs="仿宋_GB2312"/>
          <w:snapToGrid/>
          <w:color w:val="auto"/>
          <w:kern w:val="2"/>
          <w:sz w:val="32"/>
          <w:highlight w:val="none"/>
        </w:rPr>
        <w:t>《广州市突发事件预警信息发布管理规定》的有关规定及时发布预警信息。</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107" w:name="_Toc16607"/>
      <w:bookmarkStart w:id="108" w:name="_Toc4967"/>
      <w:bookmarkStart w:id="109" w:name="_Toc22055"/>
      <w:bookmarkStart w:id="110" w:name="_Toc262556053"/>
      <w:bookmarkStart w:id="111" w:name="_Toc29717"/>
      <w:r>
        <w:rPr>
          <w:rFonts w:hint="eastAsia" w:ascii="Times New Roman" w:hAnsi="Times New Roman" w:eastAsia="楷体_GB2312" w:cs="楷体_GB2312"/>
          <w:snapToGrid/>
          <w:color w:val="auto"/>
          <w:kern w:val="2"/>
          <w:highlight w:val="none"/>
          <w:lang w:val="en-US" w:eastAsia="zh-CN"/>
        </w:rPr>
        <w:t>4</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3</w:t>
      </w:r>
      <w:r>
        <w:rPr>
          <w:rFonts w:hint="eastAsia" w:ascii="楷体_GB2312" w:hAnsi="楷体_GB2312" w:eastAsia="楷体_GB2312" w:cs="楷体_GB2312"/>
          <w:snapToGrid/>
          <w:color w:val="auto"/>
          <w:kern w:val="2"/>
          <w:highlight w:val="none"/>
        </w:rPr>
        <w:t>森林火险预警响应</w:t>
      </w:r>
      <w:bookmarkEnd w:id="107"/>
      <w:bookmarkEnd w:id="108"/>
      <w:bookmarkEnd w:id="109"/>
      <w:bookmarkEnd w:id="110"/>
      <w:bookmarkEnd w:id="111"/>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根据森林火险预警等级，各森林防灭火责任单位应按照《广州市森林防火工作责任制实施细则》的有关规定，及时采取相应级别的预警响应措施。</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12" w:name="_Toc18250"/>
      <w:bookmarkStart w:id="113" w:name="_Toc21312"/>
      <w:bookmarkStart w:id="114" w:name="_Toc16731"/>
      <w:bookmarkStart w:id="115" w:name="_Toc5822"/>
      <w:r>
        <w:rPr>
          <w:rFonts w:hint="eastAsia" w:ascii="Times New Roman" w:hAnsi="Times New Roman" w:eastAsia="仿宋_GB2312" w:cs="仿宋_GB2312"/>
          <w:snapToGrid/>
          <w:color w:val="auto"/>
          <w:kern w:val="2"/>
          <w:highlight w:val="none"/>
          <w:lang w:val="en-US" w:eastAsia="zh-CN"/>
        </w:rPr>
        <w:t>4</w:t>
      </w:r>
      <w:r>
        <w:rPr>
          <w:rFonts w:hint="eastAsia" w:ascii="仿宋_GB2312" w:hAnsi="仿宋_GB2312" w:eastAsia="仿宋_GB2312" w:cs="仿宋_GB2312"/>
          <w:snapToGrid/>
          <w:color w:val="auto"/>
          <w:kern w:val="2"/>
          <w:highlight w:val="none"/>
          <w:lang w:val="en-US" w:eastAsia="zh-CN"/>
        </w:rPr>
        <w:t>.</w:t>
      </w:r>
      <w:r>
        <w:rPr>
          <w:rFonts w:hint="eastAsia" w:ascii="Times New Roman" w:hAnsi="Times New Roman" w:eastAsia="仿宋_GB2312" w:cs="仿宋_GB2312"/>
          <w:snapToGrid/>
          <w:color w:val="auto"/>
          <w:kern w:val="2"/>
          <w:highlight w:val="none"/>
          <w:lang w:val="en-US" w:eastAsia="zh-CN"/>
        </w:rPr>
        <w:t>3</w:t>
      </w:r>
      <w:r>
        <w:rPr>
          <w:rFonts w:hint="eastAsia" w:ascii="仿宋_GB2312" w:hAnsi="仿宋_GB2312" w:eastAsia="仿宋_GB2312" w:cs="仿宋_GB2312"/>
          <w:snapToGrid/>
          <w:color w:val="auto"/>
          <w:kern w:val="2"/>
          <w:highlight w:val="none"/>
          <w:lang w:val="en-US" w:eastAsia="zh-CN"/>
        </w:rPr>
        <w:t>.</w:t>
      </w:r>
      <w:r>
        <w:rPr>
          <w:rFonts w:hint="eastAsia" w:ascii="Times New Roman" w:hAnsi="Times New Roman" w:eastAsia="仿宋_GB2312" w:cs="仿宋_GB2312"/>
          <w:snapToGrid/>
          <w:color w:val="auto"/>
          <w:kern w:val="2"/>
          <w:highlight w:val="none"/>
          <w:lang w:val="en-US" w:eastAsia="zh-CN"/>
        </w:rPr>
        <w:t>1</w:t>
      </w:r>
      <w:r>
        <w:rPr>
          <w:rFonts w:hint="eastAsia" w:ascii="仿宋_GB2312" w:hAnsi="仿宋_GB2312" w:eastAsia="仿宋_GB2312" w:cs="仿宋_GB2312"/>
          <w:snapToGrid/>
          <w:color w:val="auto"/>
          <w:kern w:val="2"/>
          <w:highlight w:val="none"/>
          <w:lang w:eastAsia="zh-CN"/>
        </w:rPr>
        <w:t>黄</w:t>
      </w:r>
      <w:r>
        <w:rPr>
          <w:rFonts w:hint="eastAsia" w:ascii="仿宋_GB2312" w:hAnsi="仿宋_GB2312" w:eastAsia="仿宋_GB2312" w:cs="仿宋_GB2312"/>
          <w:snapToGrid/>
          <w:color w:val="auto"/>
          <w:kern w:val="2"/>
          <w:highlight w:val="none"/>
        </w:rPr>
        <w:t>色预警响应</w:t>
      </w:r>
      <w:bookmarkEnd w:id="112"/>
      <w:bookmarkEnd w:id="113"/>
      <w:bookmarkEnd w:id="114"/>
      <w:bookmarkEnd w:id="115"/>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lang w:eastAsia="zh-CN"/>
        </w:rPr>
        <w:t>各镇（街）、有关部门</w:t>
      </w:r>
      <w:r>
        <w:rPr>
          <w:rFonts w:hint="eastAsia" w:ascii="仿宋_GB2312" w:hAnsi="仿宋_GB2312" w:eastAsia="仿宋_GB2312" w:cs="仿宋_GB2312"/>
          <w:snapToGrid/>
          <w:color w:val="auto"/>
          <w:kern w:val="2"/>
          <w:sz w:val="32"/>
          <w:highlight w:val="none"/>
        </w:rPr>
        <w:t>按照森林特别防护期的工作要求做好预防工作，加强护林巡查</w:t>
      </w:r>
      <w:r>
        <w:rPr>
          <w:rFonts w:hint="eastAsia" w:ascii="仿宋_GB2312" w:hAnsi="仿宋_GB2312" w:eastAsia="仿宋_GB2312" w:cs="仿宋_GB2312"/>
          <w:snapToGrid/>
          <w:color w:val="auto"/>
          <w:kern w:val="2"/>
          <w:sz w:val="32"/>
          <w:highlight w:val="none"/>
          <w:lang w:eastAsia="zh-CN"/>
        </w:rPr>
        <w:t>、无人机巡航、远程监控视频、卫星监测和瞭望监测，</w:t>
      </w:r>
      <w:r>
        <w:rPr>
          <w:rFonts w:hint="eastAsia" w:ascii="仿宋_GB2312" w:hAnsi="仿宋_GB2312" w:eastAsia="仿宋_GB2312" w:cs="仿宋_GB2312"/>
          <w:snapToGrid/>
          <w:color w:val="auto"/>
          <w:kern w:val="2"/>
          <w:sz w:val="32"/>
          <w:highlight w:val="none"/>
        </w:rPr>
        <w:t>做好预警信息发布和森林防火宣传教育工作</w:t>
      </w:r>
      <w:r>
        <w:rPr>
          <w:rFonts w:hint="eastAsia" w:ascii="仿宋_GB2312" w:hAnsi="仿宋_GB2312" w:eastAsia="仿宋_GB2312" w:cs="仿宋_GB2312"/>
          <w:snapToGrid/>
          <w:color w:val="auto"/>
          <w:kern w:val="2"/>
          <w:sz w:val="32"/>
          <w:highlight w:val="none"/>
          <w:lang w:eastAsia="zh-CN"/>
        </w:rPr>
        <w:t>，</w:t>
      </w:r>
      <w:r>
        <w:rPr>
          <w:rFonts w:hint="eastAsia" w:ascii="仿宋_GB2312" w:hAnsi="仿宋_GB2312" w:eastAsia="仿宋_GB2312" w:cs="仿宋_GB2312"/>
          <w:snapToGrid/>
          <w:color w:val="auto"/>
          <w:kern w:val="2"/>
          <w:sz w:val="32"/>
          <w:highlight w:val="none"/>
        </w:rPr>
        <w:t>安排人员昼夜值班，保持</w:t>
      </w:r>
      <w:r>
        <w:rPr>
          <w:rFonts w:hint="eastAsia" w:ascii="Times New Roman" w:hAnsi="Times New Roman" w:eastAsia="仿宋_GB2312" w:cs="仿宋_GB2312"/>
          <w:snapToGrid/>
          <w:color w:val="auto"/>
          <w:kern w:val="2"/>
          <w:sz w:val="32"/>
          <w:highlight w:val="none"/>
        </w:rPr>
        <w:t>24</w:t>
      </w:r>
      <w:r>
        <w:rPr>
          <w:rFonts w:hint="eastAsia" w:ascii="仿宋_GB2312" w:hAnsi="仿宋_GB2312" w:eastAsia="仿宋_GB2312" w:cs="仿宋_GB2312"/>
          <w:snapToGrid/>
          <w:color w:val="auto"/>
          <w:kern w:val="2"/>
          <w:sz w:val="32"/>
          <w:highlight w:val="none"/>
        </w:rPr>
        <w:t>小时通信畅通，</w:t>
      </w:r>
      <w:r>
        <w:rPr>
          <w:rFonts w:hint="eastAsia" w:ascii="仿宋_GB2312" w:hAnsi="仿宋_GB2312" w:eastAsia="仿宋_GB2312" w:cs="仿宋_GB2312"/>
          <w:snapToGrid/>
          <w:color w:val="auto"/>
          <w:kern w:val="2"/>
          <w:sz w:val="32"/>
          <w:highlight w:val="none"/>
          <w:lang w:eastAsia="zh-CN"/>
        </w:rPr>
        <w:t>各镇（街）</w:t>
      </w:r>
      <w:r>
        <w:rPr>
          <w:rFonts w:hint="eastAsia" w:ascii="仿宋_GB2312" w:hAnsi="仿宋_GB2312" w:eastAsia="仿宋_GB2312" w:cs="仿宋_GB2312"/>
          <w:snapToGrid/>
          <w:color w:val="auto"/>
          <w:kern w:val="2"/>
          <w:sz w:val="32"/>
          <w:highlight w:val="none"/>
        </w:rPr>
        <w:t>及</w:t>
      </w:r>
      <w:r>
        <w:rPr>
          <w:rFonts w:hint="eastAsia" w:ascii="仿宋_GB2312" w:hAnsi="仿宋_GB2312" w:eastAsia="仿宋_GB2312" w:cs="仿宋_GB2312"/>
          <w:snapToGrid/>
          <w:color w:val="auto"/>
          <w:kern w:val="2"/>
          <w:sz w:val="32"/>
          <w:highlight w:val="none"/>
          <w:lang w:eastAsia="zh-CN"/>
        </w:rPr>
        <w:t>各级</w:t>
      </w:r>
      <w:r>
        <w:rPr>
          <w:rFonts w:hint="eastAsia" w:ascii="仿宋_GB2312" w:hAnsi="仿宋_GB2312" w:eastAsia="仿宋_GB2312" w:cs="仿宋_GB2312"/>
          <w:snapToGrid/>
          <w:color w:val="auto"/>
          <w:kern w:val="2"/>
          <w:sz w:val="32"/>
          <w:highlight w:val="none"/>
        </w:rPr>
        <w:t>森林消防队伍进入备战状态。</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16" w:name="_Toc27517"/>
      <w:bookmarkStart w:id="117" w:name="_Toc21310"/>
      <w:bookmarkStart w:id="118" w:name="_Toc7078"/>
      <w:bookmarkStart w:id="119" w:name="_Toc17543"/>
      <w:r>
        <w:rPr>
          <w:rFonts w:hint="eastAsia" w:ascii="Times New Roman" w:hAnsi="Times New Roman" w:eastAsia="仿宋_GB2312" w:cs="仿宋_GB2312"/>
          <w:snapToGrid/>
          <w:color w:val="auto"/>
          <w:kern w:val="2"/>
          <w:highlight w:val="none"/>
          <w:lang w:val="en-US" w:eastAsia="zh-CN"/>
        </w:rPr>
        <w:t>4</w:t>
      </w:r>
      <w:r>
        <w:rPr>
          <w:rFonts w:hint="eastAsia" w:ascii="仿宋_GB2312" w:hAnsi="仿宋_GB2312" w:eastAsia="仿宋_GB2312" w:cs="仿宋_GB2312"/>
          <w:snapToGrid/>
          <w:color w:val="auto"/>
          <w:kern w:val="2"/>
          <w:highlight w:val="none"/>
          <w:lang w:val="en-US" w:eastAsia="zh-CN"/>
        </w:rPr>
        <w:t>.</w:t>
      </w:r>
      <w:r>
        <w:rPr>
          <w:rFonts w:hint="eastAsia" w:ascii="Times New Roman" w:hAnsi="Times New Roman" w:eastAsia="仿宋_GB2312" w:cs="仿宋_GB2312"/>
          <w:snapToGrid/>
          <w:color w:val="auto"/>
          <w:kern w:val="2"/>
          <w:highlight w:val="none"/>
          <w:lang w:val="en-US" w:eastAsia="zh-CN"/>
        </w:rPr>
        <w:t>3</w:t>
      </w:r>
      <w:r>
        <w:rPr>
          <w:rFonts w:hint="eastAsia" w:ascii="仿宋_GB2312" w:hAnsi="仿宋_GB2312" w:eastAsia="仿宋_GB2312" w:cs="仿宋_GB2312"/>
          <w:snapToGrid/>
          <w:color w:val="auto"/>
          <w:kern w:val="2"/>
          <w:highlight w:val="none"/>
          <w:lang w:val="en-US" w:eastAsia="zh-CN"/>
        </w:rPr>
        <w:t>.</w:t>
      </w:r>
      <w:r>
        <w:rPr>
          <w:rFonts w:hint="eastAsia" w:ascii="Times New Roman" w:hAnsi="Times New Roman" w:eastAsia="仿宋_GB2312" w:cs="仿宋_GB2312"/>
          <w:snapToGrid/>
          <w:color w:val="auto"/>
          <w:kern w:val="2"/>
          <w:highlight w:val="none"/>
          <w:lang w:val="en-US" w:eastAsia="zh-CN"/>
        </w:rPr>
        <w:t>2</w:t>
      </w:r>
      <w:r>
        <w:rPr>
          <w:rFonts w:hint="eastAsia" w:ascii="仿宋_GB2312" w:hAnsi="仿宋_GB2312" w:eastAsia="仿宋_GB2312" w:cs="仿宋_GB2312"/>
          <w:snapToGrid/>
          <w:color w:val="auto"/>
          <w:kern w:val="2"/>
          <w:highlight w:val="none"/>
        </w:rPr>
        <w:t>橙色预警响应</w:t>
      </w:r>
      <w:bookmarkEnd w:id="116"/>
      <w:bookmarkEnd w:id="117"/>
      <w:bookmarkEnd w:id="118"/>
      <w:bookmarkEnd w:id="119"/>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在黄色预警响应措施的基础上，加强森林防火督导检查，加大预警信息播报频度，加强值班调度，密切监测林火动态，森林消防队伍安排值班分队集中居住，</w:t>
      </w:r>
      <w:r>
        <w:rPr>
          <w:rFonts w:hint="eastAsia" w:ascii="仿宋_GB2312" w:hAnsi="仿宋_GB2312" w:eastAsia="仿宋_GB2312" w:cs="仿宋_GB2312"/>
          <w:snapToGrid/>
          <w:color w:val="auto"/>
          <w:kern w:val="2"/>
          <w:sz w:val="32"/>
          <w:highlight w:val="none"/>
          <w:lang w:eastAsia="zh-CN"/>
        </w:rPr>
        <w:t>靠前驻防，</w:t>
      </w:r>
      <w:r>
        <w:rPr>
          <w:rFonts w:hint="eastAsia" w:ascii="仿宋_GB2312" w:hAnsi="仿宋_GB2312" w:eastAsia="仿宋_GB2312" w:cs="仿宋_GB2312"/>
          <w:snapToGrid/>
          <w:color w:val="auto"/>
          <w:kern w:val="2"/>
          <w:sz w:val="32"/>
          <w:highlight w:val="none"/>
        </w:rPr>
        <w:t>随时做好扑火准备。</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20" w:name="_Toc17412"/>
      <w:bookmarkStart w:id="121" w:name="_Toc26482"/>
      <w:bookmarkStart w:id="122" w:name="_Toc31999"/>
      <w:bookmarkStart w:id="123" w:name="_Toc19380"/>
      <w:r>
        <w:rPr>
          <w:rFonts w:hint="eastAsia" w:ascii="Times New Roman" w:hAnsi="Times New Roman" w:eastAsia="仿宋_GB2312" w:cs="仿宋_GB2312"/>
          <w:snapToGrid/>
          <w:color w:val="auto"/>
          <w:kern w:val="2"/>
          <w:highlight w:val="none"/>
          <w:lang w:val="en-US" w:eastAsia="zh-CN"/>
        </w:rPr>
        <w:t>4</w:t>
      </w:r>
      <w:r>
        <w:rPr>
          <w:rFonts w:hint="eastAsia" w:ascii="仿宋_GB2312" w:hAnsi="仿宋_GB2312" w:eastAsia="仿宋_GB2312" w:cs="仿宋_GB2312"/>
          <w:snapToGrid/>
          <w:color w:val="auto"/>
          <w:kern w:val="2"/>
          <w:highlight w:val="none"/>
          <w:lang w:val="en-US" w:eastAsia="zh-CN"/>
        </w:rPr>
        <w:t>.</w:t>
      </w:r>
      <w:r>
        <w:rPr>
          <w:rFonts w:hint="eastAsia" w:ascii="Times New Roman" w:hAnsi="Times New Roman" w:eastAsia="仿宋_GB2312" w:cs="仿宋_GB2312"/>
          <w:snapToGrid/>
          <w:color w:val="auto"/>
          <w:kern w:val="2"/>
          <w:highlight w:val="none"/>
          <w:lang w:val="en-US" w:eastAsia="zh-CN"/>
        </w:rPr>
        <w:t>3</w:t>
      </w:r>
      <w:r>
        <w:rPr>
          <w:rFonts w:hint="eastAsia" w:ascii="仿宋_GB2312" w:hAnsi="仿宋_GB2312" w:eastAsia="仿宋_GB2312" w:cs="仿宋_GB2312"/>
          <w:snapToGrid/>
          <w:color w:val="auto"/>
          <w:kern w:val="2"/>
          <w:highlight w:val="none"/>
          <w:lang w:val="en-US" w:eastAsia="zh-CN"/>
        </w:rPr>
        <w:t>.</w:t>
      </w:r>
      <w:r>
        <w:rPr>
          <w:rFonts w:hint="eastAsia" w:ascii="Times New Roman" w:hAnsi="Times New Roman" w:eastAsia="仿宋_GB2312" w:cs="仿宋_GB2312"/>
          <w:snapToGrid/>
          <w:color w:val="auto"/>
          <w:kern w:val="2"/>
          <w:highlight w:val="none"/>
          <w:lang w:val="en-US" w:eastAsia="zh-CN"/>
        </w:rPr>
        <w:t>3</w:t>
      </w:r>
      <w:r>
        <w:rPr>
          <w:rFonts w:hint="eastAsia" w:ascii="仿宋_GB2312" w:hAnsi="仿宋_GB2312" w:eastAsia="仿宋_GB2312" w:cs="仿宋_GB2312"/>
          <w:snapToGrid/>
          <w:color w:val="auto"/>
          <w:kern w:val="2"/>
          <w:highlight w:val="none"/>
        </w:rPr>
        <w:t>红色预警响应</w:t>
      </w:r>
      <w:bookmarkEnd w:id="120"/>
      <w:bookmarkEnd w:id="121"/>
      <w:bookmarkEnd w:id="122"/>
      <w:bookmarkEnd w:id="123"/>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szCs w:val="32"/>
          <w:highlight w:val="none"/>
        </w:rPr>
        <w:t>严密关注森林火险动态，</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森防指办公室应</w:t>
      </w:r>
      <w:r>
        <w:rPr>
          <w:rFonts w:hint="eastAsia" w:ascii="仿宋_GB2312" w:hAnsi="仿宋_GB2312" w:eastAsia="仿宋_GB2312" w:cs="仿宋_GB2312"/>
          <w:snapToGrid/>
          <w:color w:val="auto"/>
          <w:kern w:val="2"/>
          <w:sz w:val="32"/>
          <w:szCs w:val="32"/>
          <w:highlight w:val="none"/>
        </w:rPr>
        <w:t>将森林火险红色预警信息通报</w:t>
      </w:r>
      <w:r>
        <w:rPr>
          <w:rFonts w:hint="eastAsia" w:ascii="仿宋_GB2312" w:hAnsi="仿宋_GB2312" w:eastAsia="仿宋_GB2312" w:cs="仿宋_GB2312"/>
          <w:snapToGrid/>
          <w:color w:val="auto"/>
          <w:kern w:val="2"/>
          <w:sz w:val="32"/>
          <w:szCs w:val="32"/>
          <w:highlight w:val="none"/>
          <w:lang w:eastAsia="zh-CN"/>
        </w:rPr>
        <w:t>区</w:t>
      </w:r>
      <w:r>
        <w:rPr>
          <w:rFonts w:hint="eastAsia" w:ascii="仿宋_GB2312" w:hAnsi="仿宋_GB2312" w:eastAsia="仿宋_GB2312" w:cs="仿宋_GB2312"/>
          <w:snapToGrid/>
          <w:color w:val="auto"/>
          <w:kern w:val="2"/>
          <w:sz w:val="32"/>
          <w:szCs w:val="32"/>
          <w:highlight w:val="none"/>
        </w:rPr>
        <w:t>有关扑救应急响应联动单位。</w:t>
      </w:r>
      <w:r>
        <w:rPr>
          <w:rFonts w:hint="eastAsia" w:ascii="仿宋_GB2312" w:hAnsi="仿宋_GB2312" w:eastAsia="仿宋_GB2312" w:cs="仿宋_GB2312"/>
          <w:snapToGrid/>
          <w:color w:val="auto"/>
          <w:kern w:val="2"/>
          <w:sz w:val="32"/>
          <w:szCs w:val="32"/>
          <w:highlight w:val="none"/>
          <w:lang w:eastAsia="zh-CN"/>
        </w:rPr>
        <w:t>森林消防队伍增加值班备勤力量，随时做好森林火灾应急处置工作。</w:t>
      </w:r>
      <w:r>
        <w:rPr>
          <w:rFonts w:hint="eastAsia" w:ascii="仿宋_GB2312" w:hAnsi="仿宋_GB2312" w:eastAsia="仿宋_GB2312" w:cs="仿宋_GB2312"/>
          <w:snapToGrid/>
          <w:color w:val="auto"/>
          <w:kern w:val="2"/>
          <w:sz w:val="32"/>
          <w:szCs w:val="32"/>
          <w:highlight w:val="none"/>
        </w:rPr>
        <w:t>根据天气情况或举行重大活动需要，视情发布命令，暂停全区农事明火作业</w:t>
      </w:r>
      <w:r>
        <w:rPr>
          <w:rFonts w:hint="eastAsia" w:ascii="仿宋_GB2312" w:hAnsi="仿宋_GB2312" w:eastAsia="仿宋_GB2312" w:cs="仿宋_GB2312"/>
          <w:snapToGrid/>
          <w:color w:val="auto"/>
          <w:kern w:val="2"/>
          <w:sz w:val="32"/>
          <w:szCs w:val="32"/>
          <w:highlight w:val="none"/>
          <w:lang w:eastAsia="zh-CN"/>
        </w:rPr>
        <w:t>，</w:t>
      </w:r>
      <w:r>
        <w:rPr>
          <w:rFonts w:hint="eastAsia" w:ascii="仿宋_GB2312" w:hAnsi="仿宋_GB2312" w:eastAsia="仿宋_GB2312" w:cs="仿宋_GB2312"/>
          <w:snapToGrid/>
          <w:color w:val="auto"/>
          <w:kern w:val="2"/>
          <w:sz w:val="32"/>
          <w:highlight w:val="none"/>
        </w:rPr>
        <w:t>严禁一切野外用火。</w:t>
      </w:r>
    </w:p>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黑体" w:hAnsi="黑体" w:eastAsia="黑体" w:cs="黑体"/>
          <w:b w:val="0"/>
          <w:bCs/>
          <w:snapToGrid/>
          <w:color w:val="auto"/>
          <w:kern w:val="2"/>
          <w:highlight w:val="none"/>
        </w:rPr>
      </w:pPr>
      <w:bookmarkStart w:id="124" w:name="_Toc10043"/>
      <w:bookmarkStart w:id="125" w:name="_Toc20741"/>
      <w:bookmarkStart w:id="126" w:name="_Toc21807"/>
      <w:bookmarkStart w:id="127" w:name="_Toc7364"/>
      <w:r>
        <w:rPr>
          <w:rFonts w:hint="eastAsia" w:ascii="Times New Roman" w:hAnsi="Times New Roman" w:eastAsia="黑体" w:cs="黑体"/>
          <w:b w:val="0"/>
          <w:bCs/>
          <w:snapToGrid/>
          <w:color w:val="auto"/>
          <w:kern w:val="2"/>
          <w:highlight w:val="none"/>
        </w:rPr>
        <w:t>5</w:t>
      </w:r>
      <w:r>
        <w:rPr>
          <w:rFonts w:hint="eastAsia" w:ascii="黑体" w:hAnsi="黑体" w:eastAsia="黑体" w:cs="黑体"/>
          <w:b w:val="0"/>
          <w:bCs/>
          <w:snapToGrid/>
          <w:color w:val="auto"/>
          <w:kern w:val="2"/>
          <w:highlight w:val="none"/>
        </w:rPr>
        <w:t>.森林火情监测和信息报告</w:t>
      </w:r>
      <w:bookmarkEnd w:id="124"/>
      <w:bookmarkEnd w:id="125"/>
      <w:bookmarkEnd w:id="126"/>
      <w:bookmarkEnd w:id="127"/>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128" w:name="_Toc14747"/>
      <w:bookmarkStart w:id="129" w:name="_Toc12594"/>
      <w:bookmarkStart w:id="130" w:name="_Toc27967"/>
      <w:bookmarkStart w:id="131" w:name="_Toc17059"/>
      <w:bookmarkStart w:id="132" w:name="_Toc262556054"/>
      <w:r>
        <w:rPr>
          <w:rFonts w:hint="eastAsia" w:ascii="Times New Roman" w:hAnsi="Times New Roman" w:eastAsia="楷体_GB2312" w:cs="楷体_GB2312"/>
          <w:snapToGrid/>
          <w:color w:val="auto"/>
          <w:kern w:val="2"/>
          <w:highlight w:val="none"/>
          <w:lang w:val="en-US" w:eastAsia="zh-CN"/>
        </w:rPr>
        <w:t>5</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1</w:t>
      </w:r>
      <w:r>
        <w:rPr>
          <w:rFonts w:hint="eastAsia" w:ascii="楷体_GB2312" w:hAnsi="楷体_GB2312" w:eastAsia="楷体_GB2312" w:cs="楷体_GB2312"/>
          <w:snapToGrid/>
          <w:color w:val="auto"/>
          <w:kern w:val="2"/>
          <w:highlight w:val="none"/>
        </w:rPr>
        <w:t>森林火情监测</w:t>
      </w:r>
      <w:bookmarkEnd w:id="128"/>
      <w:bookmarkEnd w:id="129"/>
      <w:bookmarkEnd w:id="130"/>
      <w:bookmarkEnd w:id="131"/>
    </w:p>
    <w:p>
      <w:pPr>
        <w:keepNext w:val="0"/>
        <w:keepLines w:val="0"/>
        <w:pageBreakBefore w:val="0"/>
        <w:widowControl w:val="0"/>
        <w:tabs>
          <w:tab w:val="left" w:pos="540"/>
          <w:tab w:val="left" w:pos="720"/>
        </w:tabs>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lang w:eastAsia="zh-CN"/>
        </w:rPr>
        <w:t>各镇街、相关</w:t>
      </w:r>
      <w:r>
        <w:rPr>
          <w:rFonts w:hint="eastAsia" w:ascii="仿宋_GB2312" w:hAnsi="仿宋_GB2312" w:eastAsia="仿宋_GB2312" w:cs="仿宋_GB2312"/>
          <w:snapToGrid/>
          <w:color w:val="auto"/>
          <w:kern w:val="2"/>
          <w:sz w:val="32"/>
          <w:szCs w:val="32"/>
          <w:highlight w:val="none"/>
        </w:rPr>
        <w:t>单位要加强巡山护林，利用</w:t>
      </w:r>
      <w:r>
        <w:rPr>
          <w:rFonts w:hint="eastAsia" w:ascii="仿宋_GB2312" w:hAnsi="仿宋_GB2312" w:eastAsia="仿宋_GB2312" w:cs="仿宋_GB2312"/>
          <w:snapToGrid/>
          <w:color w:val="auto"/>
          <w:kern w:val="2"/>
          <w:sz w:val="32"/>
          <w:highlight w:val="none"/>
        </w:rPr>
        <w:t>瞭望监测、卫星监测和远程</w:t>
      </w:r>
      <w:r>
        <w:rPr>
          <w:rFonts w:hint="eastAsia" w:ascii="仿宋_GB2312" w:hAnsi="仿宋_GB2312" w:eastAsia="仿宋_GB2312" w:cs="仿宋_GB2312"/>
          <w:snapToGrid/>
          <w:color w:val="auto"/>
          <w:kern w:val="2"/>
          <w:sz w:val="32"/>
          <w:szCs w:val="32"/>
          <w:highlight w:val="none"/>
        </w:rPr>
        <w:t>监控视频</w:t>
      </w:r>
      <w:r>
        <w:rPr>
          <w:rFonts w:hint="eastAsia" w:ascii="仿宋_GB2312" w:hAnsi="仿宋_GB2312" w:eastAsia="仿宋_GB2312" w:cs="仿宋_GB2312"/>
          <w:snapToGrid/>
          <w:color w:val="auto"/>
          <w:kern w:val="2"/>
          <w:sz w:val="32"/>
          <w:highlight w:val="none"/>
        </w:rPr>
        <w:t>等</w:t>
      </w:r>
      <w:r>
        <w:rPr>
          <w:rFonts w:hint="eastAsia" w:ascii="仿宋_GB2312" w:hAnsi="仿宋_GB2312" w:eastAsia="仿宋_GB2312" w:cs="仿宋_GB2312"/>
          <w:snapToGrid/>
          <w:color w:val="auto"/>
          <w:kern w:val="2"/>
          <w:sz w:val="32"/>
          <w:szCs w:val="32"/>
          <w:highlight w:val="none"/>
        </w:rPr>
        <w:t>加强监测，在高森林火险预警和重要节日、活动期间，</w:t>
      </w:r>
      <w:r>
        <w:rPr>
          <w:rFonts w:hint="eastAsia" w:ascii="仿宋_GB2312" w:hAnsi="仿宋_GB2312" w:eastAsia="仿宋_GB2312" w:cs="仿宋_GB2312"/>
          <w:snapToGrid/>
          <w:color w:val="auto"/>
          <w:kern w:val="2"/>
          <w:sz w:val="32"/>
          <w:szCs w:val="32"/>
          <w:highlight w:val="none"/>
          <w:lang w:eastAsia="zh-CN"/>
        </w:rPr>
        <w:t>视情派出</w:t>
      </w:r>
      <w:r>
        <w:rPr>
          <w:rFonts w:hint="eastAsia" w:ascii="仿宋_GB2312" w:hAnsi="仿宋_GB2312" w:eastAsia="仿宋_GB2312" w:cs="仿宋_GB2312"/>
          <w:snapToGrid/>
          <w:color w:val="auto"/>
          <w:kern w:val="2"/>
          <w:sz w:val="32"/>
          <w:szCs w:val="32"/>
          <w:highlight w:val="none"/>
        </w:rPr>
        <w:t>无人机</w:t>
      </w:r>
      <w:r>
        <w:rPr>
          <w:rFonts w:hint="eastAsia" w:ascii="仿宋_GB2312" w:hAnsi="仿宋_GB2312" w:eastAsia="仿宋_GB2312" w:cs="仿宋_GB2312"/>
          <w:snapToGrid/>
          <w:color w:val="auto"/>
          <w:kern w:val="2"/>
          <w:sz w:val="32"/>
          <w:szCs w:val="32"/>
          <w:highlight w:val="none"/>
          <w:lang w:eastAsia="zh-CN"/>
        </w:rPr>
        <w:t>、护林网格员进行巡护，及时上传巡护轨迹和巡护情况，确保火情早发现、早处置</w:t>
      </w:r>
      <w:r>
        <w:rPr>
          <w:rFonts w:hint="eastAsia" w:ascii="仿宋_GB2312" w:hAnsi="仿宋_GB2312" w:eastAsia="仿宋_GB2312" w:cs="仿宋_GB2312"/>
          <w:snapToGrid/>
          <w:color w:val="auto"/>
          <w:kern w:val="2"/>
          <w:sz w:val="32"/>
          <w:szCs w:val="32"/>
          <w:highlight w:val="none"/>
        </w:rPr>
        <w:t>。</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133" w:name="_Toc16120"/>
      <w:bookmarkStart w:id="134" w:name="_Toc2684"/>
      <w:bookmarkStart w:id="135" w:name="_Toc163"/>
      <w:bookmarkStart w:id="136" w:name="_Toc11097"/>
      <w:r>
        <w:rPr>
          <w:rFonts w:hint="eastAsia" w:ascii="Times New Roman" w:hAnsi="Times New Roman" w:eastAsia="楷体_GB2312" w:cs="楷体_GB2312"/>
          <w:snapToGrid/>
          <w:color w:val="auto"/>
          <w:kern w:val="2"/>
          <w:highlight w:val="none"/>
          <w:lang w:val="en-US" w:eastAsia="zh-CN"/>
        </w:rPr>
        <w:t>5</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2</w:t>
      </w:r>
      <w:r>
        <w:rPr>
          <w:rFonts w:hint="eastAsia" w:ascii="楷体_GB2312" w:hAnsi="楷体_GB2312" w:eastAsia="楷体_GB2312" w:cs="楷体_GB2312"/>
          <w:snapToGrid/>
          <w:color w:val="auto"/>
          <w:kern w:val="2"/>
          <w:highlight w:val="none"/>
        </w:rPr>
        <w:t>森林火情报告</w:t>
      </w:r>
      <w:bookmarkEnd w:id="132"/>
      <w:bookmarkEnd w:id="133"/>
      <w:bookmarkEnd w:id="134"/>
      <w:bookmarkEnd w:id="135"/>
      <w:bookmarkEnd w:id="136"/>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37" w:name="_Toc16718"/>
      <w:bookmarkStart w:id="138" w:name="_Toc29782"/>
      <w:bookmarkStart w:id="139" w:name="_Toc14757"/>
      <w:bookmarkStart w:id="140" w:name="_Toc17729"/>
      <w:r>
        <w:rPr>
          <w:rFonts w:hint="eastAsia" w:ascii="Times New Roman" w:hAnsi="Times New Roman" w:eastAsia="仿宋_GB2312" w:cs="仿宋_GB2312"/>
          <w:snapToGrid/>
          <w:color w:val="auto"/>
          <w:kern w:val="2"/>
          <w:highlight w:val="none"/>
        </w:rPr>
        <w:t>5</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接报核查</w:t>
      </w:r>
      <w:bookmarkEnd w:id="137"/>
      <w:bookmarkEnd w:id="138"/>
      <w:bookmarkEnd w:id="139"/>
      <w:bookmarkEnd w:id="140"/>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highlight w:val="none"/>
        </w:rPr>
        <w:t>各有关单位及</w:t>
      </w:r>
      <w:r>
        <w:rPr>
          <w:rFonts w:hint="eastAsia" w:ascii="仿宋_GB2312" w:hAnsi="仿宋_GB2312" w:eastAsia="仿宋_GB2312" w:cs="仿宋_GB2312"/>
          <w:snapToGrid/>
          <w:color w:val="auto"/>
          <w:kern w:val="2"/>
          <w:sz w:val="32"/>
          <w:szCs w:val="32"/>
          <w:highlight w:val="none"/>
        </w:rPr>
        <w:t>个人发现森林火情后，应立即</w:t>
      </w:r>
      <w:r>
        <w:rPr>
          <w:rFonts w:hint="eastAsia" w:ascii="仿宋_GB2312" w:hAnsi="仿宋_GB2312" w:eastAsia="仿宋_GB2312" w:cs="仿宋_GB2312"/>
          <w:snapToGrid/>
          <w:color w:val="auto"/>
          <w:kern w:val="2"/>
          <w:sz w:val="32"/>
          <w:szCs w:val="32"/>
          <w:highlight w:val="none"/>
          <w:lang w:eastAsia="zh-CN"/>
        </w:rPr>
        <w:t>向区森林防火值班室</w:t>
      </w:r>
      <w:r>
        <w:rPr>
          <w:rFonts w:hint="eastAsia" w:ascii="Times New Roman" w:hAnsi="Times New Roman" w:eastAsia="仿宋_GB2312" w:cs="仿宋_GB2312"/>
          <w:snapToGrid/>
          <w:color w:val="auto"/>
          <w:kern w:val="2"/>
          <w:sz w:val="32"/>
          <w:szCs w:val="32"/>
          <w:highlight w:val="none"/>
          <w:lang w:val="en-US" w:eastAsia="zh-CN"/>
        </w:rPr>
        <w:t>82661171</w:t>
      </w:r>
      <w:r>
        <w:rPr>
          <w:rFonts w:hint="eastAsia" w:ascii="仿宋_GB2312" w:hAnsi="仿宋_GB2312" w:eastAsia="仿宋_GB2312" w:cs="仿宋_GB2312"/>
          <w:snapToGrid/>
          <w:color w:val="auto"/>
          <w:kern w:val="2"/>
          <w:sz w:val="32"/>
          <w:szCs w:val="32"/>
          <w:highlight w:val="none"/>
          <w:lang w:val="en-US" w:eastAsia="zh-CN"/>
        </w:rPr>
        <w:t>，</w:t>
      </w:r>
      <w:r>
        <w:rPr>
          <w:rFonts w:hint="eastAsia" w:ascii="Times New Roman" w:hAnsi="Times New Roman" w:eastAsia="仿宋_GB2312" w:cs="仿宋_GB2312"/>
          <w:snapToGrid/>
          <w:color w:val="auto"/>
          <w:kern w:val="2"/>
          <w:sz w:val="32"/>
          <w:szCs w:val="32"/>
          <w:highlight w:val="none"/>
        </w:rPr>
        <w:t>12119</w:t>
      </w: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rPr>
        <w:t>119</w:t>
      </w: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rPr>
        <w:t>110</w:t>
      </w:r>
      <w:r>
        <w:rPr>
          <w:rFonts w:hint="eastAsia" w:ascii="仿宋_GB2312" w:hAnsi="仿宋_GB2312" w:eastAsia="仿宋_GB2312" w:cs="仿宋_GB2312"/>
          <w:snapToGrid/>
          <w:color w:val="auto"/>
          <w:kern w:val="2"/>
          <w:sz w:val="32"/>
          <w:szCs w:val="32"/>
          <w:highlight w:val="none"/>
        </w:rPr>
        <w:t>报</w:t>
      </w:r>
      <w:r>
        <w:rPr>
          <w:rFonts w:hint="eastAsia" w:ascii="仿宋_GB2312" w:hAnsi="仿宋_GB2312" w:eastAsia="仿宋_GB2312" w:cs="仿宋_GB2312"/>
          <w:snapToGrid/>
          <w:color w:val="auto"/>
          <w:kern w:val="2"/>
          <w:sz w:val="32"/>
          <w:szCs w:val="32"/>
          <w:highlight w:val="none"/>
          <w:lang w:eastAsia="zh-CN"/>
        </w:rPr>
        <w:t>警</w:t>
      </w: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lang w:val="en-US" w:eastAsia="zh-CN"/>
        </w:rPr>
        <w:t>119</w:t>
      </w:r>
      <w:r>
        <w:rPr>
          <w:rFonts w:hint="eastAsia" w:ascii="仿宋_GB2312" w:hAnsi="仿宋_GB2312" w:eastAsia="仿宋_GB2312" w:cs="仿宋_GB2312"/>
          <w:snapToGrid/>
          <w:color w:val="auto"/>
          <w:kern w:val="2"/>
          <w:sz w:val="32"/>
          <w:szCs w:val="32"/>
          <w:highlight w:val="none"/>
          <w:lang w:val="en-US" w:eastAsia="zh-CN"/>
        </w:rPr>
        <w:t>、</w:t>
      </w:r>
      <w:r>
        <w:rPr>
          <w:rFonts w:hint="eastAsia" w:ascii="Times New Roman" w:hAnsi="Times New Roman" w:eastAsia="仿宋_GB2312" w:cs="仿宋_GB2312"/>
          <w:snapToGrid/>
          <w:color w:val="auto"/>
          <w:kern w:val="2"/>
          <w:sz w:val="32"/>
          <w:szCs w:val="32"/>
          <w:highlight w:val="none"/>
          <w:lang w:val="en-US" w:eastAsia="zh-CN"/>
        </w:rPr>
        <w:t>110</w:t>
      </w:r>
      <w:r>
        <w:rPr>
          <w:rFonts w:hint="eastAsia" w:ascii="仿宋_GB2312" w:hAnsi="仿宋_GB2312" w:eastAsia="仿宋_GB2312" w:cs="仿宋_GB2312"/>
          <w:snapToGrid/>
          <w:color w:val="auto"/>
          <w:kern w:val="2"/>
          <w:sz w:val="32"/>
          <w:szCs w:val="32"/>
          <w:highlight w:val="none"/>
        </w:rPr>
        <w:t>接报森林火情信息后，应第一时间转</w:t>
      </w:r>
      <w:r>
        <w:rPr>
          <w:rFonts w:hint="eastAsia" w:ascii="仿宋_GB2312" w:hAnsi="仿宋_GB2312" w:eastAsia="仿宋_GB2312" w:cs="仿宋_GB2312"/>
          <w:snapToGrid/>
          <w:color w:val="auto"/>
          <w:kern w:val="2"/>
          <w:sz w:val="32"/>
          <w:szCs w:val="32"/>
          <w:highlight w:val="none"/>
          <w:lang w:eastAsia="zh-CN"/>
        </w:rPr>
        <w:t>区</w:t>
      </w:r>
      <w:r>
        <w:rPr>
          <w:rFonts w:hint="eastAsia" w:ascii="仿宋_GB2312" w:hAnsi="仿宋_GB2312" w:eastAsia="仿宋_GB2312" w:cs="仿宋_GB2312"/>
          <w:snapToGrid/>
          <w:color w:val="auto"/>
          <w:kern w:val="2"/>
          <w:sz w:val="32"/>
          <w:szCs w:val="32"/>
          <w:highlight w:val="none"/>
        </w:rPr>
        <w:t>森林防灭火值班室核查处置。</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41" w:name="_Toc3543"/>
      <w:bookmarkStart w:id="142" w:name="_Toc19386"/>
      <w:bookmarkStart w:id="143" w:name="_Toc16060"/>
      <w:bookmarkStart w:id="144" w:name="_Toc13517"/>
      <w:r>
        <w:rPr>
          <w:rFonts w:hint="eastAsia" w:ascii="Times New Roman" w:hAnsi="Times New Roman" w:eastAsia="仿宋_GB2312" w:cs="仿宋_GB2312"/>
          <w:snapToGrid/>
          <w:color w:val="auto"/>
          <w:kern w:val="2"/>
          <w:highlight w:val="none"/>
        </w:rPr>
        <w:t>5</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报告要求</w:t>
      </w:r>
      <w:bookmarkEnd w:id="141"/>
      <w:bookmarkEnd w:id="142"/>
      <w:bookmarkEnd w:id="143"/>
      <w:bookmarkEnd w:id="144"/>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Cs/>
          <w:snapToGrid/>
          <w:color w:val="auto"/>
          <w:kern w:val="2"/>
          <w:sz w:val="32"/>
          <w:highlight w:val="none"/>
        </w:rPr>
      </w:pPr>
      <w:r>
        <w:rPr>
          <w:rFonts w:hint="eastAsia" w:ascii="仿宋_GB2312" w:hAnsi="仿宋_GB2312" w:eastAsia="仿宋_GB2312" w:cs="仿宋_GB2312"/>
          <w:bCs/>
          <w:snapToGrid/>
          <w:color w:val="auto"/>
          <w:kern w:val="2"/>
          <w:sz w:val="32"/>
          <w:highlight w:val="none"/>
        </w:rPr>
        <w:t>森林火灾信息实行归口报告及“有火必报”制度，统一由各级森防指办公室自下至上逐级报告。</w:t>
      </w:r>
      <w:r>
        <w:rPr>
          <w:rFonts w:hint="eastAsia" w:ascii="仿宋_GB2312" w:hAnsi="仿宋_GB2312" w:eastAsia="仿宋_GB2312" w:cs="仿宋_GB2312"/>
          <w:bCs/>
          <w:snapToGrid/>
          <w:color w:val="auto"/>
          <w:kern w:val="2"/>
          <w:sz w:val="32"/>
          <w:highlight w:val="none"/>
          <w:lang w:eastAsia="zh-CN"/>
        </w:rPr>
        <w:t>各</w:t>
      </w:r>
      <w:r>
        <w:rPr>
          <w:rFonts w:hint="eastAsia" w:ascii="仿宋_GB2312" w:hAnsi="仿宋_GB2312" w:eastAsia="仿宋_GB2312" w:cs="仿宋_GB2312"/>
          <w:snapToGrid/>
          <w:color w:val="auto"/>
          <w:kern w:val="2"/>
          <w:sz w:val="32"/>
          <w:szCs w:val="32"/>
          <w:highlight w:val="none"/>
          <w:lang w:eastAsia="zh-CN"/>
        </w:rPr>
        <w:t>镇（街）</w:t>
      </w:r>
      <w:r>
        <w:rPr>
          <w:rFonts w:hint="eastAsia" w:ascii="仿宋_GB2312" w:hAnsi="仿宋_GB2312" w:eastAsia="仿宋_GB2312" w:cs="仿宋_GB2312"/>
          <w:snapToGrid/>
          <w:color w:val="auto"/>
          <w:kern w:val="2"/>
          <w:sz w:val="32"/>
          <w:szCs w:val="32"/>
          <w:highlight w:val="none"/>
        </w:rPr>
        <w:t>接报森林火灾后应立即报告</w:t>
      </w:r>
      <w:r>
        <w:rPr>
          <w:rFonts w:hint="eastAsia" w:ascii="仿宋_GB2312" w:hAnsi="仿宋_GB2312" w:eastAsia="仿宋_GB2312" w:cs="仿宋_GB2312"/>
          <w:snapToGrid/>
          <w:color w:val="auto"/>
          <w:kern w:val="2"/>
          <w:sz w:val="32"/>
          <w:szCs w:val="32"/>
          <w:highlight w:val="none"/>
          <w:lang w:eastAsia="zh-CN"/>
        </w:rPr>
        <w:t>区</w:t>
      </w:r>
      <w:r>
        <w:rPr>
          <w:rFonts w:hint="eastAsia" w:ascii="仿宋_GB2312" w:hAnsi="仿宋_GB2312" w:eastAsia="仿宋_GB2312" w:cs="仿宋_GB2312"/>
          <w:snapToGrid/>
          <w:color w:val="auto"/>
          <w:kern w:val="2"/>
          <w:sz w:val="32"/>
          <w:szCs w:val="32"/>
          <w:highlight w:val="none"/>
        </w:rPr>
        <w:t>森防指办公室；</w:t>
      </w:r>
      <w:r>
        <w:rPr>
          <w:rFonts w:hint="eastAsia" w:ascii="仿宋_GB2312" w:hAnsi="仿宋_GB2312" w:eastAsia="仿宋_GB2312" w:cs="仿宋_GB2312"/>
          <w:snapToGrid/>
          <w:color w:val="auto"/>
          <w:kern w:val="2"/>
          <w:sz w:val="32"/>
          <w:szCs w:val="32"/>
          <w:highlight w:val="none"/>
          <w:lang w:eastAsia="zh-CN"/>
        </w:rPr>
        <w:t>区</w:t>
      </w:r>
      <w:r>
        <w:rPr>
          <w:rFonts w:hint="eastAsia" w:ascii="仿宋_GB2312" w:hAnsi="仿宋_GB2312" w:eastAsia="仿宋_GB2312" w:cs="仿宋_GB2312"/>
          <w:snapToGrid/>
          <w:color w:val="auto"/>
          <w:kern w:val="2"/>
          <w:sz w:val="32"/>
          <w:szCs w:val="32"/>
          <w:highlight w:val="none"/>
        </w:rPr>
        <w:t>森防指办公室及时整理和分析收集的火灾信息，经</w:t>
      </w:r>
      <w:r>
        <w:rPr>
          <w:rFonts w:hint="eastAsia" w:ascii="仿宋_GB2312" w:hAnsi="仿宋_GB2312" w:eastAsia="仿宋_GB2312" w:cs="仿宋_GB2312"/>
          <w:snapToGrid/>
          <w:color w:val="auto"/>
          <w:kern w:val="2"/>
          <w:sz w:val="32"/>
          <w:szCs w:val="32"/>
          <w:highlight w:val="none"/>
          <w:lang w:eastAsia="zh-CN"/>
        </w:rPr>
        <w:t>区</w:t>
      </w:r>
      <w:r>
        <w:rPr>
          <w:rFonts w:hint="eastAsia" w:ascii="仿宋_GB2312" w:hAnsi="仿宋_GB2312" w:eastAsia="仿宋_GB2312" w:cs="仿宋_GB2312"/>
          <w:snapToGrid/>
          <w:color w:val="auto"/>
          <w:kern w:val="2"/>
          <w:sz w:val="32"/>
          <w:szCs w:val="32"/>
          <w:highlight w:val="none"/>
        </w:rPr>
        <w:t>森防指办公室主任审批后，在规定的时限内报</w:t>
      </w:r>
      <w:r>
        <w:rPr>
          <w:rFonts w:hint="eastAsia" w:ascii="仿宋_GB2312" w:hAnsi="仿宋_GB2312" w:eastAsia="仿宋_GB2312" w:cs="仿宋_GB2312"/>
          <w:snapToGrid/>
          <w:color w:val="auto"/>
          <w:kern w:val="2"/>
          <w:sz w:val="32"/>
          <w:szCs w:val="32"/>
          <w:highlight w:val="none"/>
          <w:lang w:eastAsia="zh-CN"/>
        </w:rPr>
        <w:t>区委区政府总</w:t>
      </w:r>
      <w:r>
        <w:rPr>
          <w:rFonts w:hint="eastAsia" w:ascii="仿宋_GB2312" w:hAnsi="仿宋_GB2312" w:eastAsia="仿宋_GB2312" w:cs="仿宋_GB2312"/>
          <w:snapToGrid/>
          <w:color w:val="auto"/>
          <w:kern w:val="2"/>
          <w:sz w:val="32"/>
          <w:szCs w:val="32"/>
          <w:highlight w:val="none"/>
        </w:rPr>
        <w:t>值班室和</w:t>
      </w:r>
      <w:r>
        <w:rPr>
          <w:rFonts w:hint="eastAsia" w:ascii="仿宋_GB2312" w:hAnsi="仿宋_GB2312" w:eastAsia="仿宋_GB2312" w:cs="仿宋_GB2312"/>
          <w:snapToGrid/>
          <w:color w:val="auto"/>
          <w:kern w:val="2"/>
          <w:sz w:val="32"/>
          <w:szCs w:val="32"/>
          <w:highlight w:val="none"/>
          <w:lang w:eastAsia="zh-CN"/>
        </w:rPr>
        <w:t>市</w:t>
      </w:r>
      <w:r>
        <w:rPr>
          <w:rFonts w:hint="eastAsia" w:ascii="仿宋_GB2312" w:hAnsi="仿宋_GB2312" w:eastAsia="仿宋_GB2312" w:cs="仿宋_GB2312"/>
          <w:snapToGrid/>
          <w:color w:val="auto"/>
          <w:kern w:val="2"/>
          <w:sz w:val="32"/>
          <w:szCs w:val="32"/>
          <w:highlight w:val="none"/>
        </w:rPr>
        <w:t>森防指办公室；火灾扑灭后，</w:t>
      </w:r>
      <w:r>
        <w:rPr>
          <w:rFonts w:hint="eastAsia" w:ascii="仿宋_GB2312" w:hAnsi="仿宋_GB2312" w:eastAsia="仿宋_GB2312" w:cs="仿宋_GB2312"/>
          <w:snapToGrid/>
          <w:color w:val="auto"/>
          <w:kern w:val="2"/>
          <w:sz w:val="32"/>
          <w:szCs w:val="32"/>
          <w:highlight w:val="none"/>
          <w:lang w:eastAsia="zh-CN"/>
        </w:rPr>
        <w:t>区森防指办公室</w:t>
      </w:r>
      <w:r>
        <w:rPr>
          <w:rFonts w:hint="eastAsia" w:ascii="仿宋_GB2312" w:hAnsi="仿宋_GB2312" w:eastAsia="仿宋_GB2312" w:cs="仿宋_GB2312"/>
          <w:snapToGrid/>
          <w:color w:val="auto"/>
          <w:kern w:val="2"/>
          <w:sz w:val="32"/>
          <w:szCs w:val="32"/>
          <w:highlight w:val="none"/>
        </w:rPr>
        <w:t>按时填报“广东省森林防火应急指挥调度平台”有关信息，做好火灾要素收集、汇总、分析和上报工作，其他相关部门积极配合。</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45" w:name="_Toc5481"/>
      <w:bookmarkStart w:id="146" w:name="_Toc16951"/>
      <w:bookmarkStart w:id="147" w:name="_Toc2752"/>
      <w:bookmarkStart w:id="148" w:name="_Toc21364"/>
      <w:r>
        <w:rPr>
          <w:rFonts w:hint="eastAsia" w:ascii="Times New Roman" w:hAnsi="Times New Roman" w:eastAsia="仿宋_GB2312" w:cs="仿宋_GB2312"/>
          <w:snapToGrid/>
          <w:color w:val="auto"/>
          <w:kern w:val="2"/>
          <w:highlight w:val="none"/>
        </w:rPr>
        <w:t>5</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3</w:t>
      </w:r>
      <w:r>
        <w:rPr>
          <w:rFonts w:hint="eastAsia" w:ascii="仿宋_GB2312" w:hAnsi="仿宋_GB2312" w:eastAsia="仿宋_GB2312" w:cs="仿宋_GB2312"/>
          <w:snapToGrid/>
          <w:color w:val="auto"/>
          <w:kern w:val="2"/>
          <w:highlight w:val="none"/>
        </w:rPr>
        <w:t>报告时限</w:t>
      </w:r>
      <w:bookmarkEnd w:id="145"/>
      <w:bookmarkEnd w:id="146"/>
      <w:bookmarkEnd w:id="147"/>
      <w:bookmarkEnd w:id="148"/>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对</w:t>
      </w:r>
      <w:r>
        <w:rPr>
          <w:rFonts w:hint="eastAsia" w:ascii="仿宋_GB2312" w:hAnsi="仿宋_GB2312" w:eastAsia="仿宋_GB2312" w:cs="仿宋_GB2312"/>
          <w:snapToGrid/>
          <w:color w:val="auto"/>
          <w:kern w:val="2"/>
          <w:sz w:val="32"/>
          <w:szCs w:val="32"/>
          <w:highlight w:val="none"/>
          <w:lang w:eastAsia="zh-CN"/>
        </w:rPr>
        <w:t>接报火警和</w:t>
      </w:r>
      <w:r>
        <w:rPr>
          <w:rFonts w:hint="eastAsia" w:ascii="仿宋_GB2312" w:hAnsi="仿宋_GB2312" w:eastAsia="仿宋_GB2312" w:cs="仿宋_GB2312"/>
          <w:snapToGrid/>
          <w:color w:val="auto"/>
          <w:kern w:val="2"/>
          <w:sz w:val="32"/>
          <w:szCs w:val="32"/>
          <w:highlight w:val="none"/>
        </w:rPr>
        <w:t>热点</w:t>
      </w:r>
      <w:r>
        <w:rPr>
          <w:rFonts w:hint="eastAsia" w:ascii="仿宋_GB2312" w:hAnsi="仿宋_GB2312" w:eastAsia="仿宋_GB2312" w:cs="仿宋_GB2312"/>
          <w:snapToGrid/>
          <w:color w:val="auto"/>
          <w:kern w:val="2"/>
          <w:sz w:val="32"/>
          <w:szCs w:val="32"/>
          <w:highlight w:val="none"/>
          <w:lang w:eastAsia="zh-CN"/>
        </w:rPr>
        <w:t>信息</w:t>
      </w:r>
      <w:r>
        <w:rPr>
          <w:rFonts w:hint="eastAsia" w:ascii="仿宋_GB2312" w:hAnsi="仿宋_GB2312" w:eastAsia="仿宋_GB2312" w:cs="仿宋_GB2312"/>
          <w:snapToGrid/>
          <w:color w:val="auto"/>
          <w:kern w:val="2"/>
          <w:sz w:val="32"/>
          <w:szCs w:val="32"/>
          <w:highlight w:val="none"/>
        </w:rPr>
        <w:t>，区森防指办公室在</w:t>
      </w:r>
      <w:r>
        <w:rPr>
          <w:rFonts w:hint="eastAsia" w:ascii="Times New Roman" w:hAnsi="Times New Roman" w:eastAsia="仿宋_GB2312" w:cs="仿宋_GB2312"/>
          <w:snapToGrid/>
          <w:color w:val="auto"/>
          <w:kern w:val="2"/>
          <w:sz w:val="32"/>
          <w:szCs w:val="32"/>
          <w:highlight w:val="none"/>
        </w:rPr>
        <w:t>1</w:t>
      </w:r>
      <w:r>
        <w:rPr>
          <w:rFonts w:hint="eastAsia" w:ascii="仿宋_GB2312" w:hAnsi="仿宋_GB2312" w:eastAsia="仿宋_GB2312" w:cs="仿宋_GB2312"/>
          <w:snapToGrid/>
          <w:color w:val="auto"/>
          <w:kern w:val="2"/>
          <w:sz w:val="32"/>
          <w:szCs w:val="32"/>
          <w:highlight w:val="none"/>
        </w:rPr>
        <w:t>小时（从接警起算，下同）内核实反馈。</w:t>
      </w:r>
      <w:r>
        <w:rPr>
          <w:rFonts w:hint="eastAsia" w:ascii="Times New Roman" w:hAnsi="Times New Roman" w:eastAsia="仿宋_GB2312" w:cs="仿宋_GB2312"/>
          <w:snapToGrid/>
          <w:color w:val="auto"/>
          <w:kern w:val="2"/>
          <w:sz w:val="32"/>
          <w:szCs w:val="32"/>
          <w:highlight w:val="none"/>
        </w:rPr>
        <w:t>2</w:t>
      </w:r>
      <w:r>
        <w:rPr>
          <w:rFonts w:hint="eastAsia" w:ascii="仿宋_GB2312" w:hAnsi="仿宋_GB2312" w:eastAsia="仿宋_GB2312" w:cs="仿宋_GB2312"/>
          <w:snapToGrid/>
          <w:color w:val="auto"/>
          <w:kern w:val="2"/>
          <w:sz w:val="32"/>
          <w:szCs w:val="32"/>
          <w:highlight w:val="none"/>
        </w:rPr>
        <w:t>个小时内扑灭的森林火灾可先通过电话报告，书面材料在月底报告时汇总上报；燃烧时间超过</w:t>
      </w:r>
      <w:r>
        <w:rPr>
          <w:rFonts w:hint="eastAsia" w:ascii="Times New Roman" w:hAnsi="Times New Roman" w:eastAsia="仿宋_GB2312" w:cs="仿宋_GB2312"/>
          <w:snapToGrid/>
          <w:color w:val="auto"/>
          <w:kern w:val="2"/>
          <w:sz w:val="32"/>
          <w:szCs w:val="32"/>
          <w:highlight w:val="none"/>
        </w:rPr>
        <w:t>2</w:t>
      </w:r>
      <w:r>
        <w:rPr>
          <w:rFonts w:hint="eastAsia" w:ascii="仿宋_GB2312" w:hAnsi="仿宋_GB2312" w:eastAsia="仿宋_GB2312" w:cs="仿宋_GB2312"/>
          <w:snapToGrid/>
          <w:color w:val="auto"/>
          <w:kern w:val="2"/>
          <w:sz w:val="32"/>
          <w:szCs w:val="32"/>
          <w:highlight w:val="none"/>
        </w:rPr>
        <w:t>小时，但在</w:t>
      </w:r>
      <w:r>
        <w:rPr>
          <w:rFonts w:hint="eastAsia" w:ascii="Times New Roman" w:hAnsi="Times New Roman" w:eastAsia="仿宋_GB2312" w:cs="仿宋_GB2312"/>
          <w:snapToGrid/>
          <w:color w:val="auto"/>
          <w:kern w:val="2"/>
          <w:sz w:val="32"/>
          <w:szCs w:val="32"/>
          <w:highlight w:val="none"/>
        </w:rPr>
        <w:t>4</w:t>
      </w:r>
      <w:r>
        <w:rPr>
          <w:rFonts w:hint="eastAsia" w:ascii="仿宋_GB2312" w:hAnsi="仿宋_GB2312" w:eastAsia="仿宋_GB2312" w:cs="仿宋_GB2312"/>
          <w:snapToGrid/>
          <w:color w:val="auto"/>
          <w:kern w:val="2"/>
          <w:sz w:val="32"/>
          <w:szCs w:val="32"/>
          <w:highlight w:val="none"/>
        </w:rPr>
        <w:t>个小时内扑灭的森林火灾，应先电话报告，随后补报书面材料；燃烧时间超过</w:t>
      </w:r>
      <w:r>
        <w:rPr>
          <w:rFonts w:hint="eastAsia" w:ascii="Times New Roman" w:hAnsi="Times New Roman" w:eastAsia="仿宋_GB2312" w:cs="仿宋_GB2312"/>
          <w:snapToGrid/>
          <w:color w:val="auto"/>
          <w:kern w:val="2"/>
          <w:sz w:val="32"/>
          <w:szCs w:val="32"/>
          <w:highlight w:val="none"/>
        </w:rPr>
        <w:t>4</w:t>
      </w:r>
      <w:r>
        <w:rPr>
          <w:rFonts w:hint="eastAsia" w:ascii="仿宋_GB2312" w:hAnsi="仿宋_GB2312" w:eastAsia="仿宋_GB2312" w:cs="仿宋_GB2312"/>
          <w:snapToGrid/>
          <w:color w:val="auto"/>
          <w:kern w:val="2"/>
          <w:sz w:val="32"/>
          <w:szCs w:val="32"/>
          <w:highlight w:val="none"/>
        </w:rPr>
        <w:t>小时仍未得到控制，或发生人员伤亡，或发生在重大节日、活动期间，或发生在城区及其他敏感、危险区域的森林火灾，要立即报告书面材料。</w:t>
      </w:r>
    </w:p>
    <w:p>
      <w:pPr>
        <w:pStyle w:val="30"/>
        <w:keepNext w:val="0"/>
        <w:keepLines w:val="0"/>
        <w:pageBreakBefore w:val="0"/>
        <w:widowControl w:val="0"/>
        <w:kinsoku/>
        <w:wordWrap/>
        <w:overflowPunct/>
        <w:topLinePunct w:val="0"/>
        <w:autoSpaceDE/>
        <w:autoSpaceDN/>
        <w:bidi w:val="0"/>
        <w:spacing w:line="570" w:lineRule="exact"/>
        <w:textAlignment w:val="auto"/>
        <w:outlineLvl w:val="2"/>
        <w:rPr>
          <w:rFonts w:hint="eastAsia" w:ascii="仿宋_GB2312" w:hAnsi="仿宋_GB2312" w:eastAsia="仿宋_GB2312" w:cs="仿宋_GB2312"/>
          <w:snapToGrid/>
          <w:color w:val="auto"/>
          <w:kern w:val="2"/>
          <w:highlight w:val="none"/>
        </w:rPr>
      </w:pPr>
      <w:bookmarkStart w:id="149" w:name="_Toc15114"/>
      <w:bookmarkStart w:id="150" w:name="_Toc28858"/>
      <w:bookmarkStart w:id="151" w:name="_Toc15474"/>
      <w:bookmarkStart w:id="152" w:name="_Toc24627"/>
      <w:r>
        <w:rPr>
          <w:rFonts w:hint="eastAsia" w:ascii="Times New Roman" w:hAnsi="Times New Roman" w:eastAsia="仿宋_GB2312" w:cs="仿宋_GB2312"/>
          <w:snapToGrid/>
          <w:color w:val="auto"/>
          <w:kern w:val="2"/>
          <w:highlight w:val="none"/>
        </w:rPr>
        <w:t>5</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4</w:t>
      </w:r>
      <w:r>
        <w:rPr>
          <w:rFonts w:hint="eastAsia" w:ascii="仿宋_GB2312" w:hAnsi="仿宋_GB2312" w:eastAsia="仿宋_GB2312" w:cs="仿宋_GB2312"/>
          <w:snapToGrid/>
          <w:color w:val="auto"/>
          <w:kern w:val="2"/>
          <w:highlight w:val="none"/>
        </w:rPr>
        <w:t>报告内容</w:t>
      </w:r>
      <w:bookmarkEnd w:id="149"/>
      <w:bookmarkEnd w:id="150"/>
      <w:bookmarkEnd w:id="151"/>
      <w:bookmarkEnd w:id="152"/>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起火时间、地点、原因、</w:t>
      </w:r>
      <w:r>
        <w:rPr>
          <w:rFonts w:hint="eastAsia" w:ascii="仿宋_GB2312" w:hAnsi="仿宋_GB2312" w:eastAsia="仿宋_GB2312" w:cs="仿宋_GB2312"/>
          <w:snapToGrid/>
          <w:color w:val="auto"/>
          <w:kern w:val="2"/>
          <w:sz w:val="32"/>
          <w:szCs w:val="32"/>
          <w:highlight w:val="none"/>
          <w:lang w:eastAsia="zh-CN"/>
        </w:rPr>
        <w:t>已造成的后果和影响范围、</w:t>
      </w:r>
      <w:r>
        <w:rPr>
          <w:rFonts w:hint="eastAsia" w:ascii="仿宋_GB2312" w:hAnsi="仿宋_GB2312" w:eastAsia="仿宋_GB2312" w:cs="仿宋_GB2312"/>
          <w:snapToGrid/>
          <w:color w:val="auto"/>
          <w:kern w:val="2"/>
          <w:sz w:val="32"/>
          <w:szCs w:val="32"/>
          <w:highlight w:val="none"/>
        </w:rPr>
        <w:t>火情态势、过火面积</w:t>
      </w:r>
      <w:r>
        <w:rPr>
          <w:rFonts w:hint="eastAsia" w:ascii="仿宋_GB2312" w:hAnsi="仿宋_GB2312" w:eastAsia="仿宋_GB2312" w:cs="仿宋_GB2312"/>
          <w:snapToGrid/>
          <w:color w:val="auto"/>
          <w:kern w:val="2"/>
          <w:sz w:val="32"/>
          <w:szCs w:val="32"/>
          <w:highlight w:val="none"/>
          <w:lang w:eastAsia="zh-CN"/>
        </w:rPr>
        <w:t>、</w:t>
      </w:r>
      <w:r>
        <w:rPr>
          <w:rFonts w:hint="eastAsia" w:ascii="仿宋_GB2312" w:hAnsi="仿宋_GB2312" w:eastAsia="仿宋_GB2312" w:cs="仿宋_GB2312"/>
          <w:snapToGrid/>
          <w:color w:val="auto"/>
          <w:kern w:val="2"/>
          <w:sz w:val="32"/>
          <w:szCs w:val="32"/>
          <w:highlight w:val="none"/>
        </w:rPr>
        <w:t>火场附近环境情况及已经采取的扑救措施，存在的困难及需要上级协助解决的事项等。</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snapToGrid/>
          <w:color w:val="auto"/>
          <w:kern w:val="2"/>
          <w:highlight w:val="none"/>
        </w:rPr>
      </w:pPr>
      <w:bookmarkStart w:id="153" w:name="_Toc262555297"/>
      <w:bookmarkStart w:id="154" w:name="_Toc262554729"/>
      <w:bookmarkStart w:id="155" w:name="_Toc262556055"/>
      <w:bookmarkStart w:id="156" w:name="_Toc7176"/>
      <w:bookmarkStart w:id="157" w:name="_Toc17255"/>
      <w:bookmarkStart w:id="158" w:name="_Toc10978"/>
      <w:bookmarkStart w:id="159" w:name="_Toc29704"/>
      <w:r>
        <w:rPr>
          <w:rFonts w:hint="eastAsia" w:ascii="Times New Roman" w:hAnsi="Times New Roman" w:eastAsia="黑体" w:cs="黑体"/>
          <w:b w:val="0"/>
          <w:snapToGrid/>
          <w:color w:val="auto"/>
          <w:kern w:val="2"/>
          <w:highlight w:val="none"/>
        </w:rPr>
        <w:t>6</w:t>
      </w:r>
      <w:r>
        <w:rPr>
          <w:rFonts w:hint="eastAsia" w:ascii="黑体" w:hAnsi="黑体" w:eastAsia="黑体" w:cs="黑体"/>
          <w:b w:val="0"/>
          <w:snapToGrid/>
          <w:color w:val="auto"/>
          <w:kern w:val="2"/>
          <w:highlight w:val="none"/>
        </w:rPr>
        <w:t>.森林火灾应急</w:t>
      </w:r>
      <w:bookmarkEnd w:id="153"/>
      <w:bookmarkEnd w:id="154"/>
      <w:bookmarkEnd w:id="155"/>
      <w:r>
        <w:rPr>
          <w:rFonts w:hint="eastAsia" w:ascii="黑体" w:hAnsi="黑体" w:eastAsia="黑体" w:cs="黑体"/>
          <w:b w:val="0"/>
          <w:snapToGrid/>
          <w:color w:val="auto"/>
          <w:kern w:val="2"/>
          <w:highlight w:val="none"/>
        </w:rPr>
        <w:t>处置</w:t>
      </w:r>
      <w:bookmarkEnd w:id="156"/>
      <w:bookmarkEnd w:id="157"/>
      <w:bookmarkEnd w:id="158"/>
      <w:bookmarkEnd w:id="159"/>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160" w:name="_Toc23142"/>
      <w:bookmarkStart w:id="161" w:name="_Toc1102"/>
      <w:bookmarkStart w:id="162" w:name="_Toc17179"/>
      <w:bookmarkStart w:id="163" w:name="_Toc30121"/>
      <w:r>
        <w:rPr>
          <w:rFonts w:hint="eastAsia" w:ascii="Times New Roman" w:hAnsi="Times New Roman" w:eastAsia="楷体_GB2312" w:cs="楷体_GB2312"/>
          <w:snapToGrid/>
          <w:color w:val="auto"/>
          <w:kern w:val="2"/>
          <w:highlight w:val="none"/>
        </w:rPr>
        <w:t>6</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1</w:t>
      </w:r>
      <w:r>
        <w:rPr>
          <w:rFonts w:hint="eastAsia" w:ascii="楷体_GB2312" w:hAnsi="楷体_GB2312" w:eastAsia="楷体_GB2312" w:cs="楷体_GB2312"/>
          <w:snapToGrid/>
          <w:color w:val="auto"/>
          <w:kern w:val="2"/>
          <w:highlight w:val="none"/>
        </w:rPr>
        <w:t>主要任务</w:t>
      </w:r>
      <w:bookmarkEnd w:id="160"/>
      <w:bookmarkEnd w:id="161"/>
      <w:bookmarkEnd w:id="162"/>
      <w:bookmarkEnd w:id="163"/>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64" w:name="_Toc3179"/>
      <w:bookmarkStart w:id="165" w:name="_Toc26394"/>
      <w:bookmarkStart w:id="166" w:name="_Toc31936"/>
      <w:bookmarkStart w:id="167" w:name="_Toc7955"/>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扑救火灾</w:t>
      </w:r>
      <w:bookmarkEnd w:id="164"/>
      <w:bookmarkEnd w:id="165"/>
      <w:bookmarkEnd w:id="166"/>
      <w:bookmarkEnd w:id="167"/>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立即就地就近</w:t>
      </w:r>
      <w:r>
        <w:rPr>
          <w:rFonts w:hint="eastAsia" w:ascii="仿宋_GB2312" w:hAnsi="仿宋_GB2312" w:eastAsia="仿宋_GB2312" w:cs="仿宋_GB2312"/>
          <w:snapToGrid/>
          <w:color w:val="auto"/>
          <w:kern w:val="2"/>
          <w:sz w:val="32"/>
          <w:szCs w:val="32"/>
          <w:highlight w:val="none"/>
          <w:lang w:eastAsia="zh-CN"/>
        </w:rPr>
        <w:t>组织</w:t>
      </w:r>
      <w:r>
        <w:rPr>
          <w:rFonts w:hint="eastAsia" w:ascii="仿宋_GB2312" w:hAnsi="仿宋_GB2312" w:eastAsia="仿宋_GB2312" w:cs="仿宋_GB2312"/>
          <w:snapToGrid/>
          <w:color w:val="auto"/>
          <w:kern w:val="2"/>
          <w:sz w:val="32"/>
          <w:szCs w:val="32"/>
          <w:highlight w:val="none"/>
        </w:rPr>
        <w:t>镇街干部职工、村居干部群众等力量参与扑救，力争将火灾扑灭在初起阶段。科学研判，及时组织友邻</w:t>
      </w:r>
      <w:r>
        <w:rPr>
          <w:rFonts w:hint="eastAsia" w:ascii="仿宋_GB2312" w:hAnsi="仿宋_GB2312" w:eastAsia="仿宋_GB2312" w:cs="仿宋_GB2312"/>
          <w:snapToGrid/>
          <w:color w:val="auto"/>
          <w:kern w:val="2"/>
          <w:sz w:val="32"/>
          <w:szCs w:val="32"/>
          <w:highlight w:val="none"/>
          <w:lang w:eastAsia="zh-CN"/>
        </w:rPr>
        <w:t>镇街</w:t>
      </w:r>
      <w:r>
        <w:rPr>
          <w:rFonts w:hint="eastAsia" w:ascii="仿宋_GB2312" w:hAnsi="仿宋_GB2312" w:eastAsia="仿宋_GB2312" w:cs="仿宋_GB2312"/>
          <w:snapToGrid/>
          <w:color w:val="auto"/>
          <w:kern w:val="2"/>
          <w:sz w:val="32"/>
          <w:szCs w:val="32"/>
          <w:highlight w:val="none"/>
        </w:rPr>
        <w:t>森林消防</w:t>
      </w:r>
      <w:r>
        <w:rPr>
          <w:rFonts w:hint="eastAsia" w:ascii="仿宋_GB2312" w:hAnsi="仿宋_GB2312" w:eastAsia="仿宋_GB2312" w:cs="仿宋_GB2312"/>
          <w:snapToGrid/>
          <w:color w:val="auto"/>
          <w:kern w:val="2"/>
          <w:sz w:val="32"/>
          <w:szCs w:val="32"/>
          <w:highlight w:val="none"/>
          <w:lang w:eastAsia="zh-CN"/>
        </w:rPr>
        <w:t>中队</w:t>
      </w:r>
      <w:r>
        <w:rPr>
          <w:rFonts w:hint="eastAsia" w:ascii="仿宋_GB2312" w:hAnsi="仿宋_GB2312" w:eastAsia="仿宋_GB2312" w:cs="仿宋_GB2312"/>
          <w:snapToGrid/>
          <w:color w:val="auto"/>
          <w:kern w:val="2"/>
          <w:sz w:val="32"/>
          <w:szCs w:val="32"/>
          <w:highlight w:val="none"/>
        </w:rPr>
        <w:t>和</w:t>
      </w:r>
      <w:r>
        <w:rPr>
          <w:rFonts w:hint="eastAsia" w:ascii="仿宋_GB2312" w:hAnsi="仿宋_GB2312" w:eastAsia="仿宋_GB2312" w:cs="仿宋_GB2312"/>
          <w:snapToGrid/>
          <w:color w:val="auto"/>
          <w:kern w:val="2"/>
          <w:sz w:val="32"/>
          <w:szCs w:val="32"/>
          <w:highlight w:val="none"/>
          <w:lang w:eastAsia="zh-CN"/>
        </w:rPr>
        <w:t>区森林消防大队、区消防救援队（站）</w:t>
      </w:r>
      <w:r>
        <w:rPr>
          <w:rFonts w:hint="eastAsia" w:ascii="仿宋_GB2312" w:hAnsi="仿宋_GB2312" w:eastAsia="仿宋_GB2312" w:cs="仿宋_GB2312"/>
          <w:snapToGrid/>
          <w:color w:val="auto"/>
          <w:kern w:val="2"/>
          <w:sz w:val="32"/>
          <w:highlight w:val="none"/>
        </w:rPr>
        <w:t>等力量增援扑救。</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各扑火力量在现场指挥部的统一调度指挥下，明确任务分工，落实扑救责任，科学组织扑救，在确保扑火人员安全情况下有序开展扑救工作，严防各类次生灾害发生。扑火指挥员要认真分析地理环境和火场态势，在扑火队伍行进、宿营地选择和扑火作业时，加强火场管理，时刻注意观察天气和火势的变化，采取紧急避险措施，确保各类扑火人员安全。</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68" w:name="_Toc13555"/>
      <w:bookmarkStart w:id="169" w:name="_Toc20715"/>
      <w:bookmarkStart w:id="170" w:name="_Toc24289"/>
      <w:bookmarkStart w:id="171" w:name="_Toc7500"/>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转移安置人员</w:t>
      </w:r>
      <w:bookmarkEnd w:id="168"/>
      <w:bookmarkEnd w:id="169"/>
      <w:bookmarkEnd w:id="170"/>
      <w:bookmarkEnd w:id="171"/>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当民居、厂矿、学校等人员密集区受到森林火灾威胁时，及时采取有效阻火措施，按照紧急疏散方案，有组织、有秩序地及时疏散居民和受威胁人员，确保人民群众生命安全。</w:t>
      </w:r>
      <w:r>
        <w:rPr>
          <w:rFonts w:hint="eastAsia" w:ascii="仿宋_GB2312" w:hAnsi="仿宋_GB2312" w:eastAsia="仿宋_GB2312" w:cs="仿宋_GB2312"/>
          <w:snapToGrid/>
          <w:color w:val="auto"/>
          <w:kern w:val="2"/>
          <w:sz w:val="32"/>
          <w:szCs w:val="32"/>
          <w:highlight w:val="none"/>
          <w:lang w:eastAsia="zh-CN"/>
        </w:rPr>
        <w:t>开放有关应急避难场所，按“就近转移”原则，每个避难场所配备医疗点和生活物资供应点，</w:t>
      </w:r>
      <w:r>
        <w:rPr>
          <w:rFonts w:hint="eastAsia" w:ascii="仿宋_GB2312" w:hAnsi="仿宋_GB2312" w:eastAsia="仿宋_GB2312" w:cs="仿宋_GB2312"/>
          <w:snapToGrid/>
          <w:color w:val="auto"/>
          <w:kern w:val="2"/>
          <w:sz w:val="32"/>
          <w:szCs w:val="32"/>
          <w:highlight w:val="none"/>
        </w:rPr>
        <w:t>妥善做好转移群众安置工作，确保群众有住处、有饭吃、有水喝、有衣穿、有必要的医疗救治。</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72" w:name="_Toc5639"/>
      <w:bookmarkStart w:id="173" w:name="_Toc8034"/>
      <w:bookmarkStart w:id="174" w:name="_Toc2722"/>
      <w:bookmarkStart w:id="175" w:name="_Toc28391"/>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3</w:t>
      </w:r>
      <w:r>
        <w:rPr>
          <w:rFonts w:hint="eastAsia" w:ascii="仿宋_GB2312" w:hAnsi="仿宋_GB2312" w:eastAsia="仿宋_GB2312" w:cs="仿宋_GB2312"/>
          <w:snapToGrid/>
          <w:color w:val="auto"/>
          <w:kern w:val="2"/>
          <w:highlight w:val="none"/>
        </w:rPr>
        <w:t>救治伤病员</w:t>
      </w:r>
      <w:bookmarkEnd w:id="172"/>
      <w:bookmarkEnd w:id="173"/>
      <w:bookmarkEnd w:id="174"/>
      <w:bookmarkEnd w:id="175"/>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组织医护人员和救护车辆在扑救现场待命，如有伤病员立即开展紧急救护，并迅速送医院治疗。视情派出卫生应急队伍赶赴火灾发生地，成立临时医院或医疗点，实施现场救治。</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76" w:name="_Toc9088"/>
      <w:bookmarkStart w:id="177" w:name="_Toc8668"/>
      <w:bookmarkStart w:id="178" w:name="_Toc18444"/>
      <w:bookmarkStart w:id="179" w:name="_Toc20433"/>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4</w:t>
      </w:r>
      <w:r>
        <w:rPr>
          <w:rFonts w:hint="eastAsia" w:ascii="仿宋_GB2312" w:hAnsi="仿宋_GB2312" w:eastAsia="仿宋_GB2312" w:cs="仿宋_GB2312"/>
          <w:snapToGrid/>
          <w:color w:val="auto"/>
          <w:kern w:val="2"/>
          <w:highlight w:val="none"/>
        </w:rPr>
        <w:t>保护重要目标</w:t>
      </w:r>
      <w:bookmarkEnd w:id="176"/>
      <w:bookmarkEnd w:id="177"/>
      <w:bookmarkEnd w:id="178"/>
      <w:bookmarkEnd w:id="179"/>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当军事设施、核设施、危险化学品生产储存设施设备、油气管道等重要目标物和公共卫生、社会安全等重大危险源受到火灾威胁时，迅速调集专业队伍，在专业人员指导下，确保救援人员安全的前提下全力消除威胁，确保目标安全。</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80" w:name="_Toc7876"/>
      <w:bookmarkStart w:id="181" w:name="_Toc25057"/>
      <w:bookmarkStart w:id="182" w:name="_Toc9321"/>
      <w:bookmarkStart w:id="183" w:name="_Toc16990"/>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5</w:t>
      </w:r>
      <w:r>
        <w:rPr>
          <w:rFonts w:hint="eastAsia" w:ascii="仿宋_GB2312" w:hAnsi="仿宋_GB2312" w:eastAsia="仿宋_GB2312" w:cs="仿宋_GB2312"/>
          <w:snapToGrid/>
          <w:color w:val="auto"/>
          <w:kern w:val="2"/>
          <w:highlight w:val="none"/>
        </w:rPr>
        <w:t>维护社会治安</w:t>
      </w:r>
      <w:bookmarkEnd w:id="180"/>
      <w:bookmarkEnd w:id="181"/>
      <w:bookmarkEnd w:id="182"/>
      <w:bookmarkEnd w:id="183"/>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加强火灾受影响区域社会治安、道路交通等管理，严厉打击借机盗窃、抢劫、哄抢救灾物资、传播谣言、堵塞交通等违法犯罪行为。在军事设施、金融单位、储备仓库、监狱等重要场所加强治安巡逻，维护社会稳定。</w:t>
      </w:r>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84" w:name="_Toc24697"/>
      <w:bookmarkStart w:id="185" w:name="_Toc15622"/>
      <w:bookmarkStart w:id="186" w:name="_Toc11080"/>
      <w:bookmarkStart w:id="187" w:name="_Toc9461"/>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发布信息</w:t>
      </w:r>
      <w:bookmarkEnd w:id="184"/>
      <w:bookmarkEnd w:id="185"/>
      <w:bookmarkEnd w:id="186"/>
      <w:bookmarkEnd w:id="187"/>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通过授权发布、发新闻稿、接受记者采访、举行新闻发布会和通过专业网站、官方微博、微信公众号等多种方式、途径，及时、准确、客观、全面向社会发布森林火灾和应对工作信息，回应社会关切。发布内容包括起火原因、起火时间、火灾地点、过火面积、损失情况、扑救过程和火案查处、责任追究情况等。</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88" w:name="_Toc8963"/>
      <w:bookmarkStart w:id="189" w:name="_Toc17612"/>
      <w:bookmarkStart w:id="190" w:name="_Toc6103"/>
      <w:bookmarkStart w:id="191" w:name="_Toc16505"/>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7</w:t>
      </w:r>
      <w:r>
        <w:rPr>
          <w:rFonts w:hint="eastAsia" w:ascii="仿宋_GB2312" w:hAnsi="仿宋_GB2312" w:eastAsia="仿宋_GB2312" w:cs="仿宋_GB2312"/>
          <w:snapToGrid/>
          <w:color w:val="auto"/>
          <w:kern w:val="2"/>
          <w:highlight w:val="none"/>
        </w:rPr>
        <w:t>火场清理看守</w:t>
      </w:r>
      <w:bookmarkEnd w:id="188"/>
      <w:bookmarkEnd w:id="189"/>
      <w:bookmarkEnd w:id="190"/>
      <w:bookmarkEnd w:id="191"/>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森林火灾明火扑灭后，扑火队员操作分水器采取“分段撤收”水带的方式对火烧迹地喷淋浇透，防止复燃。属地</w:t>
      </w:r>
      <w:r>
        <w:rPr>
          <w:rFonts w:hint="eastAsia" w:ascii="仿宋_GB2312" w:hAnsi="仿宋_GB2312" w:eastAsia="仿宋_GB2312" w:cs="仿宋_GB2312"/>
          <w:snapToGrid/>
          <w:color w:val="auto"/>
          <w:kern w:val="2"/>
          <w:sz w:val="32"/>
          <w:szCs w:val="32"/>
          <w:highlight w:val="none"/>
          <w:lang w:eastAsia="zh-CN"/>
        </w:rPr>
        <w:t>镇街</w:t>
      </w:r>
      <w:r>
        <w:rPr>
          <w:rFonts w:hint="eastAsia" w:ascii="仿宋_GB2312" w:hAnsi="仿宋_GB2312" w:eastAsia="仿宋_GB2312" w:cs="仿宋_GB2312"/>
          <w:snapToGrid/>
          <w:color w:val="auto"/>
          <w:kern w:val="2"/>
          <w:sz w:val="32"/>
          <w:szCs w:val="32"/>
          <w:highlight w:val="none"/>
        </w:rPr>
        <w:t>按照</w:t>
      </w:r>
      <w:r>
        <w:rPr>
          <w:rFonts w:hint="eastAsia" w:ascii="Times New Roman" w:hAnsi="Times New Roman" w:eastAsia="仿宋_GB2312" w:cs="仿宋_GB2312"/>
          <w:snapToGrid/>
          <w:color w:val="auto"/>
          <w:kern w:val="2"/>
          <w:sz w:val="32"/>
          <w:szCs w:val="32"/>
          <w:highlight w:val="none"/>
        </w:rPr>
        <w:t>1</w:t>
      </w:r>
      <w:r>
        <w:rPr>
          <w:rFonts w:hint="eastAsia" w:ascii="仿宋_GB2312" w:hAnsi="仿宋_GB2312" w:eastAsia="仿宋_GB2312" w:cs="仿宋_GB2312"/>
          <w:snapToGrid/>
          <w:color w:val="auto"/>
          <w:kern w:val="2"/>
          <w:sz w:val="32"/>
          <w:szCs w:val="32"/>
          <w:highlight w:val="none"/>
        </w:rPr>
        <w:t>人负责</w:t>
      </w:r>
      <w:r>
        <w:rPr>
          <w:rFonts w:hint="eastAsia" w:ascii="Times New Roman" w:hAnsi="Times New Roman" w:eastAsia="仿宋_GB2312" w:cs="仿宋_GB2312"/>
          <w:snapToGrid/>
          <w:color w:val="auto"/>
          <w:kern w:val="2"/>
          <w:sz w:val="32"/>
          <w:szCs w:val="32"/>
          <w:highlight w:val="none"/>
        </w:rPr>
        <w:t>20</w:t>
      </w:r>
      <w:r>
        <w:rPr>
          <w:rFonts w:hint="eastAsia" w:ascii="仿宋_GB2312" w:hAnsi="仿宋_GB2312" w:eastAsia="仿宋_GB2312" w:cs="仿宋_GB2312"/>
          <w:snapToGrid/>
          <w:color w:val="auto"/>
          <w:kern w:val="2"/>
          <w:sz w:val="32"/>
          <w:szCs w:val="32"/>
          <w:highlight w:val="none"/>
        </w:rPr>
        <w:t>米火线的标准召集力量，</w:t>
      </w:r>
      <w:r>
        <w:rPr>
          <w:rFonts w:hint="eastAsia" w:ascii="Times New Roman" w:hAnsi="Times New Roman" w:eastAsia="仿宋_GB2312" w:cs="仿宋_GB2312"/>
          <w:snapToGrid/>
          <w:color w:val="auto"/>
          <w:kern w:val="2"/>
          <w:sz w:val="32"/>
          <w:szCs w:val="32"/>
          <w:highlight w:val="none"/>
        </w:rPr>
        <w:t>10</w:t>
      </w:r>
      <w:r>
        <w:rPr>
          <w:rFonts w:hint="eastAsia" w:ascii="仿宋_GB2312" w:hAnsi="仿宋_GB2312" w:eastAsia="仿宋_GB2312" w:cs="仿宋_GB2312"/>
          <w:snapToGrid/>
          <w:color w:val="auto"/>
          <w:kern w:val="2"/>
          <w:sz w:val="32"/>
          <w:szCs w:val="32"/>
          <w:highlight w:val="none"/>
        </w:rPr>
        <w:t>人编成一个组，每组有镇街干部带队，配置</w:t>
      </w:r>
      <w:r>
        <w:rPr>
          <w:rFonts w:hint="eastAsia" w:ascii="Times New Roman" w:hAnsi="Times New Roman" w:eastAsia="仿宋_GB2312" w:cs="仿宋_GB2312"/>
          <w:snapToGrid/>
          <w:color w:val="auto"/>
          <w:kern w:val="2"/>
          <w:sz w:val="32"/>
          <w:szCs w:val="32"/>
          <w:highlight w:val="none"/>
        </w:rPr>
        <w:t>1</w:t>
      </w:r>
      <w:r>
        <w:rPr>
          <w:rFonts w:hint="eastAsia" w:ascii="仿宋_GB2312" w:hAnsi="仿宋_GB2312" w:eastAsia="仿宋_GB2312" w:cs="仿宋_GB2312"/>
          <w:snapToGrid/>
          <w:color w:val="auto"/>
          <w:kern w:val="2"/>
          <w:sz w:val="32"/>
          <w:szCs w:val="32"/>
          <w:highlight w:val="none"/>
        </w:rPr>
        <w:t>台油锯、</w:t>
      </w:r>
      <w:r>
        <w:rPr>
          <w:rFonts w:hint="eastAsia" w:ascii="Times New Roman" w:hAnsi="Times New Roman" w:eastAsia="仿宋_GB2312" w:cs="仿宋_GB2312"/>
          <w:snapToGrid/>
          <w:color w:val="auto"/>
          <w:kern w:val="2"/>
          <w:sz w:val="32"/>
          <w:szCs w:val="32"/>
          <w:highlight w:val="none"/>
        </w:rPr>
        <w:t>3</w:t>
      </w:r>
      <w:r>
        <w:rPr>
          <w:rFonts w:hint="eastAsia" w:ascii="仿宋_GB2312" w:hAnsi="仿宋_GB2312" w:eastAsia="仿宋_GB2312" w:cs="仿宋_GB2312"/>
          <w:snapToGrid/>
          <w:color w:val="auto"/>
          <w:kern w:val="2"/>
          <w:sz w:val="32"/>
          <w:szCs w:val="32"/>
          <w:highlight w:val="none"/>
        </w:rPr>
        <w:t>把铁锹、</w:t>
      </w:r>
      <w:r>
        <w:rPr>
          <w:rFonts w:hint="eastAsia" w:ascii="Times New Roman" w:hAnsi="Times New Roman" w:eastAsia="仿宋_GB2312" w:cs="仿宋_GB2312"/>
          <w:snapToGrid/>
          <w:color w:val="auto"/>
          <w:kern w:val="2"/>
          <w:sz w:val="32"/>
          <w:szCs w:val="32"/>
          <w:highlight w:val="none"/>
        </w:rPr>
        <w:t>3</w:t>
      </w:r>
      <w:r>
        <w:rPr>
          <w:rFonts w:hint="eastAsia" w:ascii="仿宋_GB2312" w:hAnsi="仿宋_GB2312" w:eastAsia="仿宋_GB2312" w:cs="仿宋_GB2312"/>
          <w:snapToGrid/>
          <w:color w:val="auto"/>
          <w:kern w:val="2"/>
          <w:sz w:val="32"/>
          <w:szCs w:val="32"/>
          <w:highlight w:val="none"/>
        </w:rPr>
        <w:t>把二号工具、</w:t>
      </w:r>
      <w:r>
        <w:rPr>
          <w:rFonts w:hint="eastAsia" w:ascii="Times New Roman" w:hAnsi="Times New Roman" w:eastAsia="仿宋_GB2312" w:cs="仿宋_GB2312"/>
          <w:snapToGrid/>
          <w:color w:val="auto"/>
          <w:kern w:val="2"/>
          <w:sz w:val="32"/>
          <w:szCs w:val="32"/>
          <w:highlight w:val="none"/>
        </w:rPr>
        <w:t>3</w:t>
      </w:r>
      <w:r>
        <w:rPr>
          <w:rFonts w:hint="eastAsia" w:ascii="仿宋_GB2312" w:hAnsi="仿宋_GB2312" w:eastAsia="仿宋_GB2312" w:cs="仿宋_GB2312"/>
          <w:snapToGrid/>
          <w:color w:val="auto"/>
          <w:kern w:val="2"/>
          <w:sz w:val="32"/>
          <w:szCs w:val="32"/>
          <w:highlight w:val="none"/>
        </w:rPr>
        <w:t>套背负式水枪等装备，明确责任区域，严肃工作纪律，扎实做好清理看守，经</w:t>
      </w:r>
      <w:r>
        <w:rPr>
          <w:rFonts w:hint="eastAsia" w:ascii="仿宋_GB2312" w:hAnsi="仿宋_GB2312" w:eastAsia="仿宋_GB2312" w:cs="仿宋_GB2312"/>
          <w:snapToGrid/>
          <w:color w:val="auto"/>
          <w:kern w:val="2"/>
          <w:sz w:val="32"/>
          <w:szCs w:val="32"/>
          <w:highlight w:val="none"/>
          <w:lang w:eastAsia="zh-CN"/>
        </w:rPr>
        <w:t>属地</w:t>
      </w:r>
      <w:r>
        <w:rPr>
          <w:rFonts w:hint="eastAsia" w:ascii="仿宋_GB2312" w:hAnsi="仿宋_GB2312" w:eastAsia="仿宋_GB2312" w:cs="仿宋_GB2312"/>
          <w:snapToGrid/>
          <w:color w:val="auto"/>
          <w:kern w:val="2"/>
          <w:sz w:val="32"/>
          <w:szCs w:val="32"/>
          <w:highlight w:val="none"/>
        </w:rPr>
        <w:t>森防指办公室检查验收，达到无火、无烟、无气后，</w:t>
      </w:r>
      <w:r>
        <w:rPr>
          <w:rFonts w:hint="eastAsia" w:ascii="仿宋_GB2312" w:hAnsi="仿宋_GB2312" w:eastAsia="仿宋_GB2312" w:cs="仿宋_GB2312"/>
          <w:snapToGrid/>
          <w:color w:val="auto"/>
          <w:kern w:val="2"/>
          <w:sz w:val="32"/>
          <w:szCs w:val="32"/>
          <w:highlight w:val="none"/>
          <w:lang w:eastAsia="zh-CN"/>
        </w:rPr>
        <w:t>清理看守</w:t>
      </w:r>
      <w:r>
        <w:rPr>
          <w:rFonts w:hint="eastAsia" w:ascii="仿宋_GB2312" w:hAnsi="仿宋_GB2312" w:eastAsia="仿宋_GB2312" w:cs="仿宋_GB2312"/>
          <w:snapToGrid/>
          <w:color w:val="auto"/>
          <w:kern w:val="2"/>
          <w:sz w:val="32"/>
          <w:szCs w:val="32"/>
          <w:highlight w:val="none"/>
        </w:rPr>
        <w:t>人员方可撤离。</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192" w:name="_Toc15428"/>
      <w:bookmarkStart w:id="193" w:name="_Toc18714"/>
      <w:bookmarkStart w:id="194" w:name="_Toc2030"/>
      <w:bookmarkStart w:id="195" w:name="_Toc4021"/>
      <w:r>
        <w:rPr>
          <w:rFonts w:hint="eastAsia" w:ascii="Times New Roman" w:hAnsi="Times New Roman" w:eastAsia="楷体_GB2312" w:cs="楷体_GB2312"/>
          <w:snapToGrid/>
          <w:color w:val="auto"/>
          <w:kern w:val="2"/>
          <w:highlight w:val="none"/>
        </w:rPr>
        <w:t>6</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2</w:t>
      </w:r>
      <w:r>
        <w:rPr>
          <w:rFonts w:hint="eastAsia" w:ascii="楷体_GB2312" w:hAnsi="楷体_GB2312" w:eastAsia="楷体_GB2312" w:cs="楷体_GB2312"/>
          <w:snapToGrid/>
          <w:color w:val="auto"/>
          <w:kern w:val="2"/>
          <w:highlight w:val="none"/>
        </w:rPr>
        <w:t>应急响应</w:t>
      </w:r>
      <w:bookmarkEnd w:id="192"/>
      <w:bookmarkEnd w:id="193"/>
      <w:bookmarkEnd w:id="194"/>
      <w:bookmarkEnd w:id="195"/>
    </w:p>
    <w:p>
      <w:pPr>
        <w:pStyle w:val="39"/>
        <w:keepNext w:val="0"/>
        <w:keepLines w:val="0"/>
        <w:pageBreakBefore w:val="0"/>
        <w:widowControl w:val="0"/>
        <w:kinsoku/>
        <w:wordWrap/>
        <w:overflowPunct/>
        <w:topLinePunct w:val="0"/>
        <w:autoSpaceDE/>
        <w:autoSpaceDN/>
        <w:bidi w:val="0"/>
        <w:adjustRightInd w:val="0"/>
        <w:snapToGrid w:val="0"/>
        <w:spacing w:line="570" w:lineRule="exact"/>
        <w:ind w:firstLine="632" w:firstLineChars="200"/>
        <w:textAlignment w:val="auto"/>
        <w:rPr>
          <w:rFonts w:hint="eastAsia" w:ascii="仿宋_GB2312" w:hAnsi="仿宋_GB2312" w:eastAsia="仿宋_GB2312" w:cs="仿宋_GB2312"/>
          <w:snapToGrid/>
          <w:color w:val="auto"/>
          <w:kern w:val="2"/>
          <w:szCs w:val="32"/>
          <w:highlight w:val="none"/>
        </w:rPr>
      </w:pPr>
      <w:r>
        <w:rPr>
          <w:rFonts w:hint="eastAsia" w:ascii="仿宋_GB2312" w:hAnsi="仿宋_GB2312" w:eastAsia="仿宋_GB2312" w:cs="仿宋_GB2312"/>
          <w:snapToGrid/>
          <w:color w:val="auto"/>
          <w:kern w:val="2"/>
          <w:sz w:val="32"/>
          <w:szCs w:val="32"/>
          <w:highlight w:val="none"/>
        </w:rPr>
        <w:t>按照森林火灾涉及范围和危害程度，</w:t>
      </w:r>
      <w:r>
        <w:rPr>
          <w:rFonts w:hint="eastAsia" w:ascii="仿宋_GB2312" w:hAnsi="仿宋_GB2312" w:eastAsia="仿宋_GB2312" w:cs="仿宋_GB2312"/>
          <w:snapToGrid/>
          <w:color w:val="auto"/>
          <w:kern w:val="2"/>
          <w:sz w:val="32"/>
          <w:szCs w:val="32"/>
          <w:highlight w:val="none"/>
          <w:lang w:eastAsia="zh-CN"/>
        </w:rPr>
        <w:t>结合我区森林防灭火工作实际，</w:t>
      </w:r>
      <w:r>
        <w:rPr>
          <w:rFonts w:hint="eastAsia" w:ascii="仿宋_GB2312" w:hAnsi="仿宋_GB2312" w:eastAsia="仿宋_GB2312" w:cs="仿宋_GB2312"/>
          <w:snapToGrid/>
          <w:color w:val="auto"/>
          <w:kern w:val="2"/>
          <w:sz w:val="32"/>
          <w:szCs w:val="32"/>
          <w:highlight w:val="none"/>
        </w:rPr>
        <w:t>森</w:t>
      </w:r>
      <w:r>
        <w:rPr>
          <w:rFonts w:hint="eastAsia" w:ascii="仿宋_GB2312" w:hAnsi="仿宋_GB2312" w:eastAsia="仿宋_GB2312" w:cs="仿宋_GB2312"/>
          <w:bCs/>
          <w:snapToGrid/>
          <w:color w:val="auto"/>
          <w:kern w:val="2"/>
          <w:sz w:val="32"/>
          <w:highlight w:val="none"/>
        </w:rPr>
        <w:t>林火灾应急响应分为：先期处置和Ⅳ级、Ⅲ级、Ⅱ级、Ⅰ级</w:t>
      </w:r>
      <w:r>
        <w:rPr>
          <w:rFonts w:hint="eastAsia" w:ascii="仿宋_GB2312" w:hAnsi="仿宋_GB2312" w:eastAsia="仿宋_GB2312" w:cs="仿宋_GB2312"/>
          <w:bCs/>
          <w:snapToGrid/>
          <w:color w:val="auto"/>
          <w:kern w:val="2"/>
          <w:sz w:val="32"/>
          <w:highlight w:val="none"/>
          <w:lang w:eastAsia="zh-CN"/>
        </w:rPr>
        <w:t>响应</w:t>
      </w:r>
      <w:r>
        <w:rPr>
          <w:rFonts w:hint="eastAsia" w:ascii="仿宋_GB2312" w:hAnsi="仿宋_GB2312" w:eastAsia="仿宋_GB2312" w:cs="仿宋_GB2312"/>
          <w:bCs/>
          <w:snapToGrid/>
          <w:color w:val="auto"/>
          <w:kern w:val="2"/>
          <w:sz w:val="32"/>
          <w:highlight w:val="none"/>
        </w:rPr>
        <w:t>。</w:t>
      </w:r>
      <w:r>
        <w:rPr>
          <w:rFonts w:hint="eastAsia" w:ascii="仿宋_GB2312" w:hAnsi="仿宋_GB2312" w:eastAsia="仿宋_GB2312" w:cs="仿宋_GB2312"/>
          <w:snapToGrid/>
          <w:color w:val="auto"/>
          <w:kern w:val="2"/>
          <w:szCs w:val="32"/>
          <w:highlight w:val="none"/>
        </w:rPr>
        <w:t>应急响应期间，各级领导按照《广州市森林防火工作责任制实施细则》相关规定，赶赴现场组织开展应急处置工作。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196" w:name="_Toc8476"/>
      <w:bookmarkStart w:id="197" w:name="_Toc21838"/>
      <w:bookmarkStart w:id="198" w:name="_Toc23815"/>
      <w:bookmarkStart w:id="199" w:name="_Toc10947"/>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1</w:t>
      </w:r>
      <w:r>
        <w:rPr>
          <w:rFonts w:hint="eastAsia" w:ascii="仿宋_GB2312" w:hAnsi="仿宋_GB2312" w:eastAsia="仿宋_GB2312" w:cs="仿宋_GB2312"/>
          <w:snapToGrid/>
          <w:color w:val="auto"/>
          <w:kern w:val="2"/>
          <w:highlight w:val="none"/>
        </w:rPr>
        <w:t>先期处置</w:t>
      </w:r>
      <w:bookmarkEnd w:id="196"/>
      <w:bookmarkEnd w:id="197"/>
      <w:bookmarkEnd w:id="198"/>
      <w:bookmarkEnd w:id="199"/>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lang w:eastAsia="zh-CN"/>
        </w:rPr>
      </w:pPr>
      <w:r>
        <w:rPr>
          <w:rFonts w:hint="eastAsia" w:ascii="仿宋_GB2312" w:hAnsi="仿宋_GB2312" w:eastAsia="仿宋_GB2312" w:cs="仿宋_GB2312"/>
          <w:snapToGrid/>
          <w:color w:val="auto"/>
          <w:kern w:val="2"/>
          <w:sz w:val="32"/>
          <w:szCs w:val="32"/>
          <w:highlight w:val="none"/>
        </w:rPr>
        <w:t>发生森林火情后，事发地镇（街）、村（居）及林场、森林公园景区等单位应迅速调集自有应急力量，采取有效措施开展扑火救灾工作。镇（街）相关负责人应赶赴现场组织开展应急处置工作。区森防指办公室</w:t>
      </w:r>
      <w:r>
        <w:rPr>
          <w:rFonts w:hint="eastAsia" w:ascii="仿宋_GB2312" w:hAnsi="仿宋_GB2312" w:eastAsia="仿宋_GB2312" w:cs="仿宋_GB2312"/>
          <w:snapToGrid/>
          <w:color w:val="auto"/>
          <w:kern w:val="2"/>
          <w:sz w:val="32"/>
          <w:szCs w:val="32"/>
          <w:highlight w:val="none"/>
          <w:lang w:eastAsia="zh-CN"/>
        </w:rPr>
        <w:t>、区应急管理局、区林业和园林局、市公安局增城分局相关负责同志</w:t>
      </w:r>
      <w:r>
        <w:rPr>
          <w:rFonts w:hint="eastAsia" w:ascii="仿宋_GB2312" w:hAnsi="仿宋_GB2312" w:eastAsia="仿宋_GB2312" w:cs="仿宋_GB2312"/>
          <w:snapToGrid/>
          <w:color w:val="auto"/>
          <w:kern w:val="2"/>
          <w:sz w:val="32"/>
          <w:szCs w:val="32"/>
          <w:highlight w:val="none"/>
        </w:rPr>
        <w:t>及</w:t>
      </w:r>
      <w:r>
        <w:rPr>
          <w:rFonts w:hint="eastAsia" w:ascii="仿宋_GB2312" w:hAnsi="仿宋_GB2312" w:eastAsia="仿宋_GB2312" w:cs="仿宋_GB2312"/>
          <w:snapToGrid/>
          <w:color w:val="auto"/>
          <w:kern w:val="2"/>
          <w:sz w:val="32"/>
          <w:szCs w:val="32"/>
          <w:highlight w:val="none"/>
          <w:lang w:eastAsia="zh-CN"/>
        </w:rPr>
        <w:t>区森林消防大队</w:t>
      </w:r>
      <w:r>
        <w:rPr>
          <w:rFonts w:hint="eastAsia" w:ascii="仿宋_GB2312" w:hAnsi="仿宋_GB2312" w:eastAsia="仿宋_GB2312" w:cs="仿宋_GB2312"/>
          <w:snapToGrid/>
          <w:color w:val="auto"/>
          <w:kern w:val="2"/>
          <w:sz w:val="32"/>
          <w:szCs w:val="32"/>
          <w:highlight w:val="none"/>
        </w:rPr>
        <w:t>视情增援处置</w:t>
      </w:r>
      <w:r>
        <w:rPr>
          <w:rFonts w:hint="eastAsia" w:ascii="仿宋_GB2312" w:hAnsi="仿宋_GB2312" w:eastAsia="仿宋_GB2312" w:cs="仿宋_GB2312"/>
          <w:snapToGrid/>
          <w:color w:val="auto"/>
          <w:kern w:val="2"/>
          <w:sz w:val="32"/>
          <w:szCs w:val="32"/>
          <w:highlight w:val="none"/>
          <w:lang w:eastAsia="zh-CN"/>
        </w:rPr>
        <w:t>，区森防指其他成员单位根据需要参与应急处置工作。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200" w:name="_Toc744"/>
      <w:bookmarkStart w:id="201" w:name="_Toc22941"/>
      <w:bookmarkStart w:id="202" w:name="_Toc31723"/>
      <w:bookmarkStart w:id="203" w:name="_Toc16032"/>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Ⅳ级应急响应</w:t>
      </w:r>
      <w:bookmarkEnd w:id="200"/>
      <w:bookmarkEnd w:id="201"/>
      <w:bookmarkEnd w:id="202"/>
      <w:bookmarkEnd w:id="203"/>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20"/>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启动条件：</w:t>
      </w:r>
      <w:r>
        <w:rPr>
          <w:rFonts w:hint="eastAsia" w:ascii="仿宋_GB2312" w:hAnsi="仿宋_GB2312" w:eastAsia="仿宋_GB2312" w:cs="仿宋_GB2312"/>
          <w:b w:val="0"/>
          <w:bCs w:val="0"/>
          <w:snapToGrid/>
          <w:color w:val="auto"/>
          <w:kern w:val="2"/>
          <w:sz w:val="32"/>
          <w:szCs w:val="20"/>
          <w:highlight w:val="none"/>
        </w:rPr>
        <w:t>经先期处置未能扑灭，且燃烧时间超过</w:t>
      </w:r>
      <w:r>
        <w:rPr>
          <w:rFonts w:hint="eastAsia" w:ascii="Times New Roman" w:hAnsi="Times New Roman" w:eastAsia="仿宋_GB2312" w:cs="仿宋_GB2312"/>
          <w:b w:val="0"/>
          <w:bCs w:val="0"/>
          <w:snapToGrid/>
          <w:color w:val="auto"/>
          <w:kern w:val="2"/>
          <w:sz w:val="32"/>
          <w:szCs w:val="20"/>
          <w:highlight w:val="none"/>
          <w:lang w:val="en-US" w:eastAsia="zh-CN"/>
        </w:rPr>
        <w:t>2</w:t>
      </w:r>
      <w:r>
        <w:rPr>
          <w:rFonts w:hint="eastAsia" w:ascii="仿宋_GB2312" w:hAnsi="仿宋_GB2312" w:eastAsia="仿宋_GB2312" w:cs="仿宋_GB2312"/>
          <w:b w:val="0"/>
          <w:bCs w:val="0"/>
          <w:snapToGrid/>
          <w:color w:val="auto"/>
          <w:kern w:val="2"/>
          <w:sz w:val="32"/>
          <w:szCs w:val="20"/>
          <w:highlight w:val="none"/>
        </w:rPr>
        <w:t>小时的，或初判过火面积</w:t>
      </w:r>
      <w:r>
        <w:rPr>
          <w:rFonts w:hint="eastAsia" w:ascii="Times New Roman" w:hAnsi="Times New Roman" w:eastAsia="仿宋_GB2312" w:cs="仿宋_GB2312"/>
          <w:b w:val="0"/>
          <w:bCs w:val="0"/>
          <w:snapToGrid/>
          <w:color w:val="auto"/>
          <w:kern w:val="2"/>
          <w:sz w:val="32"/>
          <w:szCs w:val="20"/>
          <w:highlight w:val="none"/>
          <w:lang w:val="en-US" w:eastAsia="zh-CN"/>
        </w:rPr>
        <w:t>5</w:t>
      </w:r>
      <w:r>
        <w:rPr>
          <w:rFonts w:hint="eastAsia" w:ascii="仿宋_GB2312" w:hAnsi="仿宋_GB2312" w:eastAsia="仿宋_GB2312" w:cs="仿宋_GB2312"/>
          <w:b w:val="0"/>
          <w:bCs w:val="0"/>
          <w:snapToGrid/>
          <w:color w:val="auto"/>
          <w:kern w:val="2"/>
          <w:sz w:val="32"/>
          <w:szCs w:val="20"/>
          <w:highlight w:val="none"/>
        </w:rPr>
        <w:t>公顷的森林火灾。</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启动程序：</w:t>
      </w:r>
      <w:r>
        <w:rPr>
          <w:rFonts w:hint="eastAsia" w:ascii="仿宋_GB2312" w:hAnsi="仿宋_GB2312" w:eastAsia="仿宋_GB2312" w:cs="仿宋_GB2312"/>
          <w:b w:val="0"/>
          <w:bCs w:val="0"/>
          <w:snapToGrid/>
          <w:color w:val="auto"/>
          <w:kern w:val="2"/>
          <w:sz w:val="32"/>
          <w:szCs w:val="20"/>
          <w:highlight w:val="none"/>
        </w:rPr>
        <w:t>由</w:t>
      </w:r>
      <w:r>
        <w:rPr>
          <w:rFonts w:hint="eastAsia" w:ascii="仿宋_GB2312" w:hAnsi="仿宋_GB2312" w:eastAsia="仿宋_GB2312" w:cs="仿宋_GB2312"/>
          <w:b w:val="0"/>
          <w:bCs w:val="0"/>
          <w:snapToGrid/>
          <w:color w:val="auto"/>
          <w:kern w:val="2"/>
          <w:sz w:val="32"/>
          <w:szCs w:val="20"/>
          <w:highlight w:val="none"/>
          <w:lang w:eastAsia="zh-CN"/>
        </w:rPr>
        <w:t>区</w:t>
      </w:r>
      <w:r>
        <w:rPr>
          <w:rFonts w:hint="eastAsia" w:ascii="仿宋_GB2312" w:hAnsi="仿宋_GB2312" w:eastAsia="仿宋_GB2312" w:cs="仿宋_GB2312"/>
          <w:b w:val="0"/>
          <w:bCs w:val="0"/>
          <w:snapToGrid/>
          <w:color w:val="auto"/>
          <w:kern w:val="2"/>
          <w:sz w:val="32"/>
          <w:szCs w:val="32"/>
          <w:highlight w:val="none"/>
        </w:rPr>
        <w:t>森防指办公室报请</w:t>
      </w:r>
      <w:r>
        <w:rPr>
          <w:rFonts w:hint="eastAsia" w:ascii="仿宋_GB2312" w:hAnsi="仿宋_GB2312" w:eastAsia="仿宋_GB2312" w:cs="仿宋_GB2312"/>
          <w:b w:val="0"/>
          <w:bCs w:val="0"/>
          <w:snapToGrid/>
          <w:color w:val="auto"/>
          <w:kern w:val="2"/>
          <w:sz w:val="32"/>
          <w:szCs w:val="32"/>
          <w:highlight w:val="none"/>
          <w:lang w:eastAsia="zh-CN"/>
        </w:rPr>
        <w:t>区</w:t>
      </w:r>
      <w:r>
        <w:rPr>
          <w:rFonts w:hint="eastAsia" w:ascii="仿宋_GB2312" w:hAnsi="仿宋_GB2312" w:eastAsia="仿宋_GB2312" w:cs="仿宋_GB2312"/>
          <w:b w:val="0"/>
          <w:bCs w:val="0"/>
          <w:snapToGrid/>
          <w:color w:val="auto"/>
          <w:kern w:val="2"/>
          <w:sz w:val="32"/>
          <w:szCs w:val="32"/>
          <w:highlight w:val="none"/>
        </w:rPr>
        <w:t>应急管理局分管领导兼任的</w:t>
      </w:r>
      <w:r>
        <w:rPr>
          <w:rFonts w:hint="eastAsia" w:ascii="仿宋_GB2312" w:hAnsi="仿宋_GB2312" w:eastAsia="仿宋_GB2312" w:cs="仿宋_GB2312"/>
          <w:b w:val="0"/>
          <w:bCs w:val="0"/>
          <w:snapToGrid/>
          <w:color w:val="auto"/>
          <w:kern w:val="2"/>
          <w:sz w:val="32"/>
          <w:szCs w:val="20"/>
          <w:highlight w:val="none"/>
          <w:lang w:eastAsia="zh-CN"/>
        </w:rPr>
        <w:t>区</w:t>
      </w:r>
      <w:r>
        <w:rPr>
          <w:rFonts w:hint="eastAsia" w:ascii="仿宋_GB2312" w:hAnsi="仿宋_GB2312" w:eastAsia="仿宋_GB2312" w:cs="仿宋_GB2312"/>
          <w:b w:val="0"/>
          <w:bCs w:val="0"/>
          <w:snapToGrid/>
          <w:color w:val="auto"/>
          <w:kern w:val="2"/>
          <w:sz w:val="32"/>
          <w:szCs w:val="32"/>
          <w:highlight w:val="none"/>
        </w:rPr>
        <w:t>森防指办公室副主任决定启动Ⅳ级响应。</w:t>
      </w:r>
      <w:r>
        <w:rPr>
          <w:rFonts w:hint="eastAsia" w:ascii="仿宋_GB2312" w:hAnsi="仿宋_GB2312" w:eastAsia="仿宋_GB2312" w:cs="仿宋_GB2312"/>
          <w:b w:val="0"/>
          <w:bCs w:val="0"/>
          <w:snapToGrid/>
          <w:color w:val="auto"/>
          <w:kern w:val="2"/>
          <w:sz w:val="32"/>
          <w:szCs w:val="20"/>
          <w:highlight w:val="none"/>
          <w:lang w:eastAsia="zh-CN"/>
        </w:rPr>
        <w:t>区</w:t>
      </w:r>
      <w:r>
        <w:rPr>
          <w:rFonts w:hint="eastAsia" w:ascii="仿宋_GB2312" w:hAnsi="仿宋_GB2312" w:eastAsia="仿宋_GB2312" w:cs="仿宋_GB2312"/>
          <w:b w:val="0"/>
          <w:bCs w:val="0"/>
          <w:snapToGrid/>
          <w:color w:val="auto"/>
          <w:kern w:val="2"/>
          <w:sz w:val="32"/>
          <w:szCs w:val="32"/>
          <w:highlight w:val="none"/>
        </w:rPr>
        <w:t>森防指及时向区政府和</w:t>
      </w:r>
      <w:r>
        <w:rPr>
          <w:rFonts w:hint="eastAsia" w:ascii="仿宋_GB2312" w:hAnsi="仿宋_GB2312" w:eastAsia="仿宋_GB2312" w:cs="仿宋_GB2312"/>
          <w:b w:val="0"/>
          <w:bCs w:val="0"/>
          <w:snapToGrid/>
          <w:color w:val="auto"/>
          <w:kern w:val="2"/>
          <w:sz w:val="32"/>
          <w:szCs w:val="20"/>
          <w:highlight w:val="none"/>
          <w:lang w:eastAsia="zh-CN"/>
        </w:rPr>
        <w:t>区</w:t>
      </w:r>
      <w:r>
        <w:rPr>
          <w:rFonts w:hint="eastAsia" w:ascii="仿宋_GB2312" w:hAnsi="仿宋_GB2312" w:eastAsia="仿宋_GB2312" w:cs="仿宋_GB2312"/>
          <w:b w:val="0"/>
          <w:bCs w:val="0"/>
          <w:snapToGrid/>
          <w:color w:val="auto"/>
          <w:kern w:val="2"/>
          <w:sz w:val="32"/>
          <w:szCs w:val="32"/>
          <w:highlight w:val="none"/>
        </w:rPr>
        <w:t>森防指成员单位以及各镇街通报情况，各镇街和区有关单位要做好应急准备和实施工作。</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响应措施：</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32"/>
          <w:highlight w:val="none"/>
        </w:rPr>
        <w:t>（</w:t>
      </w:r>
      <w:r>
        <w:rPr>
          <w:rFonts w:hint="eastAsia" w:ascii="Times New Roman" w:hAnsi="Times New Roman" w:eastAsia="仿宋_GB2312" w:cs="仿宋_GB2312"/>
          <w:b w:val="0"/>
          <w:bCs w:val="0"/>
          <w:snapToGrid/>
          <w:color w:val="auto"/>
          <w:kern w:val="2"/>
          <w:sz w:val="32"/>
          <w:szCs w:val="32"/>
          <w:highlight w:val="none"/>
        </w:rPr>
        <w:t>1</w:t>
      </w:r>
      <w:r>
        <w:rPr>
          <w:rFonts w:hint="eastAsia" w:ascii="仿宋_GB2312" w:hAnsi="仿宋_GB2312" w:eastAsia="仿宋_GB2312" w:cs="仿宋_GB2312"/>
          <w:b w:val="0"/>
          <w:bCs w:val="0"/>
          <w:snapToGrid/>
          <w:color w:val="auto"/>
          <w:kern w:val="2"/>
          <w:sz w:val="32"/>
          <w:szCs w:val="32"/>
          <w:highlight w:val="none"/>
        </w:rPr>
        <w:t>）区分管领导和</w:t>
      </w:r>
      <w:r>
        <w:rPr>
          <w:rFonts w:hint="eastAsia" w:ascii="仿宋_GB2312" w:hAnsi="仿宋_GB2312" w:eastAsia="仿宋_GB2312" w:cs="仿宋_GB2312"/>
          <w:b w:val="0"/>
          <w:bCs w:val="0"/>
          <w:snapToGrid/>
          <w:color w:val="auto"/>
          <w:kern w:val="2"/>
          <w:sz w:val="32"/>
          <w:szCs w:val="20"/>
          <w:highlight w:val="none"/>
          <w:lang w:eastAsia="zh-CN"/>
        </w:rPr>
        <w:t>区</w:t>
      </w:r>
      <w:r>
        <w:rPr>
          <w:rFonts w:hint="eastAsia" w:ascii="仿宋_GB2312" w:hAnsi="仿宋_GB2312" w:eastAsia="仿宋_GB2312" w:cs="仿宋_GB2312"/>
          <w:b w:val="0"/>
          <w:bCs w:val="0"/>
          <w:snapToGrid/>
          <w:color w:val="auto"/>
          <w:kern w:val="2"/>
          <w:sz w:val="32"/>
          <w:szCs w:val="32"/>
          <w:highlight w:val="none"/>
        </w:rPr>
        <w:t>森防指正、副总指挥立即赶赴火灾现场，组织开展扑火救灾工作。</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32"/>
          <w:highlight w:val="none"/>
        </w:rPr>
        <w:t>（</w:t>
      </w:r>
      <w:r>
        <w:rPr>
          <w:rFonts w:hint="eastAsia" w:ascii="Times New Roman" w:hAnsi="Times New Roman" w:eastAsia="仿宋_GB2312" w:cs="仿宋_GB2312"/>
          <w:b w:val="0"/>
          <w:bCs w:val="0"/>
          <w:snapToGrid/>
          <w:color w:val="auto"/>
          <w:kern w:val="2"/>
          <w:sz w:val="32"/>
          <w:szCs w:val="32"/>
          <w:highlight w:val="none"/>
        </w:rPr>
        <w:t>2</w:t>
      </w:r>
      <w:r>
        <w:rPr>
          <w:rFonts w:hint="eastAsia" w:ascii="仿宋_GB2312" w:hAnsi="仿宋_GB2312" w:eastAsia="仿宋_GB2312" w:cs="仿宋_GB2312"/>
          <w:b w:val="0"/>
          <w:bCs w:val="0"/>
          <w:snapToGrid/>
          <w:color w:val="auto"/>
          <w:kern w:val="2"/>
          <w:sz w:val="32"/>
          <w:szCs w:val="32"/>
          <w:highlight w:val="none"/>
        </w:rPr>
        <w:t>）</w:t>
      </w:r>
      <w:r>
        <w:rPr>
          <w:rFonts w:hint="eastAsia" w:ascii="仿宋_GB2312" w:hAnsi="仿宋_GB2312" w:eastAsia="仿宋_GB2312" w:cs="仿宋_GB2312"/>
          <w:b w:val="0"/>
          <w:bCs w:val="0"/>
          <w:snapToGrid/>
          <w:color w:val="auto"/>
          <w:kern w:val="2"/>
          <w:sz w:val="32"/>
          <w:szCs w:val="20"/>
          <w:highlight w:val="none"/>
          <w:lang w:eastAsia="zh-CN"/>
        </w:rPr>
        <w:t>区</w:t>
      </w:r>
      <w:r>
        <w:rPr>
          <w:rFonts w:hint="eastAsia" w:ascii="仿宋_GB2312" w:hAnsi="仿宋_GB2312" w:eastAsia="仿宋_GB2312" w:cs="仿宋_GB2312"/>
          <w:b w:val="0"/>
          <w:bCs w:val="0"/>
          <w:snapToGrid/>
          <w:color w:val="auto"/>
          <w:kern w:val="2"/>
          <w:sz w:val="32"/>
          <w:szCs w:val="32"/>
          <w:highlight w:val="none"/>
        </w:rPr>
        <w:t>森防指迅</w:t>
      </w:r>
      <w:r>
        <w:rPr>
          <w:rFonts w:hint="eastAsia" w:ascii="仿宋_GB2312" w:hAnsi="仿宋_GB2312" w:eastAsia="仿宋_GB2312" w:cs="仿宋_GB2312"/>
          <w:snapToGrid/>
          <w:color w:val="auto"/>
          <w:kern w:val="2"/>
          <w:sz w:val="32"/>
          <w:szCs w:val="32"/>
          <w:highlight w:val="none"/>
        </w:rPr>
        <w:t>速调集全区专业和半专业队伍前往扑救。所有扑火队伍到达现场后，均由</w:t>
      </w:r>
      <w:r>
        <w:rPr>
          <w:rFonts w:hint="eastAsia" w:ascii="仿宋_GB2312" w:hAnsi="仿宋_GB2312" w:eastAsia="仿宋_GB2312" w:cs="仿宋_GB2312"/>
          <w:snapToGrid/>
          <w:color w:val="auto"/>
          <w:kern w:val="2"/>
          <w:sz w:val="32"/>
          <w:szCs w:val="20"/>
          <w:highlight w:val="none"/>
          <w:lang w:eastAsia="zh-CN"/>
        </w:rPr>
        <w:t>区</w:t>
      </w:r>
      <w:r>
        <w:rPr>
          <w:rFonts w:hint="eastAsia" w:ascii="仿宋_GB2312" w:hAnsi="仿宋_GB2312" w:eastAsia="仿宋_GB2312" w:cs="仿宋_GB2312"/>
          <w:snapToGrid/>
          <w:color w:val="auto"/>
          <w:kern w:val="2"/>
          <w:sz w:val="32"/>
          <w:szCs w:val="32"/>
          <w:highlight w:val="none"/>
        </w:rPr>
        <w:t>森防指统一指挥调动。根据火情发展态势和损失程度，由</w:t>
      </w:r>
      <w:r>
        <w:rPr>
          <w:rFonts w:hint="eastAsia" w:ascii="仿宋_GB2312" w:hAnsi="仿宋_GB2312" w:eastAsia="仿宋_GB2312" w:cs="仿宋_GB2312"/>
          <w:snapToGrid/>
          <w:color w:val="auto"/>
          <w:kern w:val="2"/>
          <w:sz w:val="32"/>
          <w:szCs w:val="20"/>
          <w:highlight w:val="none"/>
          <w:lang w:eastAsia="zh-CN"/>
        </w:rPr>
        <w:t>区</w:t>
      </w:r>
      <w:r>
        <w:rPr>
          <w:rFonts w:hint="eastAsia" w:ascii="仿宋_GB2312" w:hAnsi="仿宋_GB2312" w:eastAsia="仿宋_GB2312" w:cs="仿宋_GB2312"/>
          <w:snapToGrid/>
          <w:color w:val="auto"/>
          <w:kern w:val="2"/>
          <w:sz w:val="32"/>
          <w:szCs w:val="32"/>
          <w:highlight w:val="none"/>
        </w:rPr>
        <w:t>森防指决定是否报请</w:t>
      </w:r>
      <w:r>
        <w:rPr>
          <w:rFonts w:hint="eastAsia" w:ascii="仿宋_GB2312" w:hAnsi="仿宋_GB2312" w:eastAsia="仿宋_GB2312" w:cs="仿宋_GB2312"/>
          <w:snapToGrid/>
          <w:color w:val="auto"/>
          <w:kern w:val="2"/>
          <w:sz w:val="32"/>
          <w:szCs w:val="20"/>
          <w:highlight w:val="none"/>
          <w:lang w:eastAsia="zh-CN"/>
        </w:rPr>
        <w:t>市</w:t>
      </w:r>
      <w:r>
        <w:rPr>
          <w:rFonts w:hint="eastAsia" w:ascii="仿宋_GB2312" w:hAnsi="仿宋_GB2312" w:eastAsia="仿宋_GB2312" w:cs="仿宋_GB2312"/>
          <w:snapToGrid/>
          <w:color w:val="auto"/>
          <w:kern w:val="2"/>
          <w:sz w:val="32"/>
          <w:szCs w:val="32"/>
          <w:highlight w:val="none"/>
        </w:rPr>
        <w:t>森防指调派力量增援。</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rPr>
        <w:t>3</w:t>
      </w:r>
      <w:r>
        <w:rPr>
          <w:rFonts w:hint="eastAsia" w:ascii="仿宋_GB2312" w:hAnsi="仿宋_GB2312" w:eastAsia="仿宋_GB2312" w:cs="仿宋_GB2312"/>
          <w:snapToGrid/>
          <w:color w:val="auto"/>
          <w:kern w:val="2"/>
          <w:sz w:val="32"/>
          <w:szCs w:val="32"/>
          <w:highlight w:val="none"/>
        </w:rPr>
        <w:t>）</w:t>
      </w:r>
      <w:r>
        <w:rPr>
          <w:rFonts w:hint="eastAsia" w:ascii="仿宋_GB2312" w:hAnsi="仿宋_GB2312" w:eastAsia="仿宋_GB2312" w:cs="仿宋_GB2312"/>
          <w:snapToGrid/>
          <w:color w:val="auto"/>
          <w:kern w:val="2"/>
          <w:sz w:val="32"/>
          <w:szCs w:val="20"/>
          <w:highlight w:val="none"/>
          <w:lang w:eastAsia="zh-CN"/>
        </w:rPr>
        <w:t>区</w:t>
      </w:r>
      <w:r>
        <w:rPr>
          <w:rFonts w:hint="eastAsia" w:ascii="仿宋_GB2312" w:hAnsi="仿宋_GB2312" w:eastAsia="仿宋_GB2312" w:cs="仿宋_GB2312"/>
          <w:snapToGrid/>
          <w:color w:val="auto"/>
          <w:kern w:val="2"/>
          <w:sz w:val="32"/>
          <w:szCs w:val="32"/>
          <w:highlight w:val="none"/>
        </w:rPr>
        <w:t>森防指</w:t>
      </w:r>
      <w:r>
        <w:rPr>
          <w:rFonts w:hint="eastAsia" w:ascii="仿宋_GB2312" w:hAnsi="仿宋_GB2312" w:eastAsia="仿宋_GB2312" w:cs="仿宋_GB2312"/>
          <w:snapToGrid/>
          <w:color w:val="auto"/>
          <w:kern w:val="2"/>
          <w:sz w:val="32"/>
          <w:szCs w:val="32"/>
          <w:highlight w:val="none"/>
          <w:lang w:eastAsia="zh-CN"/>
        </w:rPr>
        <w:t>办公室</w:t>
      </w:r>
      <w:r>
        <w:rPr>
          <w:rFonts w:hint="eastAsia" w:ascii="仿宋_GB2312" w:hAnsi="仿宋_GB2312" w:eastAsia="仿宋_GB2312" w:cs="仿宋_GB2312"/>
          <w:snapToGrid/>
          <w:color w:val="auto"/>
          <w:kern w:val="2"/>
          <w:sz w:val="32"/>
          <w:szCs w:val="32"/>
          <w:highlight w:val="none"/>
        </w:rPr>
        <w:t>负责随时向</w:t>
      </w:r>
      <w:r>
        <w:rPr>
          <w:rFonts w:hint="eastAsia" w:ascii="仿宋_GB2312" w:hAnsi="仿宋_GB2312" w:eastAsia="仿宋_GB2312" w:cs="仿宋_GB2312"/>
          <w:snapToGrid/>
          <w:color w:val="auto"/>
          <w:kern w:val="2"/>
          <w:sz w:val="32"/>
          <w:szCs w:val="32"/>
          <w:highlight w:val="none"/>
          <w:lang w:eastAsia="zh-CN"/>
        </w:rPr>
        <w:t>区委</w:t>
      </w:r>
      <w:r>
        <w:rPr>
          <w:rFonts w:hint="eastAsia" w:ascii="仿宋_GB2312" w:hAnsi="仿宋_GB2312" w:eastAsia="仿宋_GB2312" w:cs="仿宋_GB2312"/>
          <w:snapToGrid/>
          <w:color w:val="auto"/>
          <w:kern w:val="2"/>
          <w:sz w:val="32"/>
          <w:szCs w:val="32"/>
          <w:highlight w:val="none"/>
        </w:rPr>
        <w:t>区政府总值班室和市森防指</w:t>
      </w:r>
      <w:r>
        <w:rPr>
          <w:rFonts w:hint="eastAsia" w:ascii="仿宋_GB2312" w:hAnsi="仿宋_GB2312" w:eastAsia="仿宋_GB2312" w:cs="仿宋_GB2312"/>
          <w:snapToGrid/>
          <w:color w:val="auto"/>
          <w:kern w:val="2"/>
          <w:sz w:val="32"/>
          <w:szCs w:val="32"/>
          <w:highlight w:val="none"/>
          <w:lang w:eastAsia="zh-CN"/>
        </w:rPr>
        <w:t>办公室</w:t>
      </w:r>
      <w:r>
        <w:rPr>
          <w:rFonts w:hint="eastAsia" w:ascii="仿宋_GB2312" w:hAnsi="仿宋_GB2312" w:eastAsia="仿宋_GB2312" w:cs="仿宋_GB2312"/>
          <w:snapToGrid/>
          <w:color w:val="auto"/>
          <w:kern w:val="2"/>
          <w:sz w:val="32"/>
          <w:szCs w:val="32"/>
          <w:highlight w:val="none"/>
        </w:rPr>
        <w:t>报告情况。</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rPr>
        <w:t>4</w:t>
      </w:r>
      <w:r>
        <w:rPr>
          <w:rFonts w:hint="eastAsia" w:ascii="仿宋_GB2312" w:hAnsi="仿宋_GB2312" w:eastAsia="仿宋_GB2312" w:cs="仿宋_GB2312"/>
          <w:snapToGrid/>
          <w:color w:val="auto"/>
          <w:kern w:val="2"/>
          <w:sz w:val="32"/>
          <w:szCs w:val="32"/>
          <w:highlight w:val="none"/>
        </w:rPr>
        <w:t>）发生火灾的镇街及时供应粮食和饮用水，负责做好后勤保障工作。</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rPr>
        <w:t>5</w:t>
      </w:r>
      <w:r>
        <w:rPr>
          <w:rFonts w:hint="eastAsia" w:ascii="仿宋_GB2312" w:hAnsi="仿宋_GB2312" w:eastAsia="仿宋_GB2312" w:cs="仿宋_GB2312"/>
          <w:snapToGrid/>
          <w:color w:val="auto"/>
          <w:kern w:val="2"/>
          <w:sz w:val="32"/>
          <w:szCs w:val="32"/>
          <w:highlight w:val="none"/>
        </w:rPr>
        <w:t>）指挥部各成员单位按照本预案制定的职责，迅速开展相关的扑火救灾工作。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lang w:eastAsia="zh-CN"/>
        </w:rPr>
      </w:pPr>
      <w:r>
        <w:rPr>
          <w:rFonts w:hint="eastAsia" w:ascii="仿宋_GB2312" w:hAnsi="仿宋_GB2312" w:eastAsia="仿宋_GB2312" w:cs="仿宋_GB2312"/>
          <w:snapToGrid/>
          <w:color w:val="auto"/>
          <w:kern w:val="2"/>
          <w:sz w:val="32"/>
          <w:szCs w:val="32"/>
          <w:highlight w:val="none"/>
          <w:lang w:eastAsia="zh-CN"/>
        </w:rPr>
        <w:t>（</w:t>
      </w:r>
      <w:r>
        <w:rPr>
          <w:rFonts w:hint="eastAsia" w:ascii="Times New Roman" w:hAnsi="Times New Roman" w:eastAsia="仿宋_GB2312" w:cs="仿宋_GB2312"/>
          <w:snapToGrid/>
          <w:color w:val="auto"/>
          <w:kern w:val="2"/>
          <w:sz w:val="32"/>
          <w:szCs w:val="32"/>
          <w:highlight w:val="none"/>
          <w:lang w:val="en-US" w:eastAsia="zh-CN"/>
        </w:rPr>
        <w:t>6</w:t>
      </w:r>
      <w:r>
        <w:rPr>
          <w:rFonts w:hint="eastAsia" w:ascii="仿宋_GB2312" w:hAnsi="仿宋_GB2312" w:eastAsia="仿宋_GB2312" w:cs="仿宋_GB2312"/>
          <w:snapToGrid/>
          <w:color w:val="auto"/>
          <w:kern w:val="2"/>
          <w:sz w:val="32"/>
          <w:szCs w:val="32"/>
          <w:highlight w:val="none"/>
          <w:lang w:eastAsia="zh-CN"/>
        </w:rPr>
        <w:t>）区应急管理局进入战时状态，成立现场指导组和后方值守组，调派力量增援，指导、协助事发镇街做好森林火灾应急处置工作。</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lang w:eastAsia="zh-CN"/>
        </w:rPr>
      </w:pPr>
      <w:r>
        <w:rPr>
          <w:rFonts w:hint="eastAsia" w:ascii="仿宋_GB2312" w:hAnsi="仿宋_GB2312" w:eastAsia="仿宋_GB2312" w:cs="仿宋_GB2312"/>
          <w:snapToGrid/>
          <w:color w:val="auto"/>
          <w:kern w:val="2"/>
          <w:sz w:val="32"/>
          <w:szCs w:val="32"/>
          <w:highlight w:val="none"/>
          <w:lang w:eastAsia="zh-CN"/>
        </w:rPr>
        <w:t>现场指导组:成立由区应急管理局主要负责同志任组长,区应急管理局相关科室、单位和专家,以及区林业和园林局、市公安局增城分局工作人员组成的现场指导组，负责传达和督促落实省、市森防指领导和区委、区政府工作要求，协助、指导现场指挥部制定火灾扑救、安全警戒、人员疏散、应急保障等扑火救灾应急处置方案；负责增援队伍的调派报到和储备装备物资的调运接收；督促事发镇街落实应急保障力量，配合增援队伍开展扑火救灾;及时向后方值守组反馈现场应急处置情况；必要时，会同现场指挥部向媒体及社会公众提供专业技术问题解答工作;督促做好火灾案件查处和调查工作。</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lang w:eastAsia="zh-CN"/>
        </w:rPr>
        <w:t>后方值守组:区应急管理局成立由值班局领导或应急值守工作分管领导任组长，相关科室和单位工作人员组成的后方值守组负责向现场指挥部传达区领导和上级部门的工作要求，跟进火灾处置情况，按规定做好相关信息的报送和发布；负责区领导在区应急指挥中心与现场指挥部调度的音视频保障，为赴现场指导组工作人员提供车辆、物资和后勤保障；根据扑火救灾需要，通知区森防指相关成员单位安排人员参与应急处置，调度全区各级各类应急队伍增援处置；协调解决现场指导组反映的困难和问题。</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204" w:name="_Toc22649"/>
      <w:bookmarkStart w:id="205" w:name="_Toc6638"/>
      <w:bookmarkStart w:id="206" w:name="_Toc6218"/>
      <w:bookmarkStart w:id="207" w:name="_Toc8297"/>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3</w:t>
      </w:r>
      <w:r>
        <w:rPr>
          <w:rFonts w:hint="eastAsia" w:ascii="仿宋_GB2312" w:hAnsi="仿宋_GB2312" w:eastAsia="仿宋_GB2312" w:cs="仿宋_GB2312"/>
          <w:snapToGrid/>
          <w:color w:val="auto"/>
          <w:kern w:val="2"/>
          <w:highlight w:val="none"/>
        </w:rPr>
        <w:t>Ⅲ级应急响应</w:t>
      </w:r>
      <w:bookmarkEnd w:id="204"/>
      <w:bookmarkEnd w:id="205"/>
      <w:bookmarkEnd w:id="206"/>
      <w:bookmarkEnd w:id="207"/>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b w:val="0"/>
          <w:bCs w:val="0"/>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启动条件：</w:t>
      </w:r>
      <w:r>
        <w:rPr>
          <w:rFonts w:hint="eastAsia" w:ascii="仿宋_GB2312" w:hAnsi="仿宋_GB2312" w:eastAsia="仿宋_GB2312" w:cs="仿宋_GB2312"/>
          <w:b w:val="0"/>
          <w:bCs w:val="0"/>
          <w:snapToGrid/>
          <w:color w:val="auto"/>
          <w:kern w:val="2"/>
          <w:sz w:val="32"/>
          <w:szCs w:val="32"/>
          <w:highlight w:val="none"/>
        </w:rPr>
        <w:t>持续燃烧时间超过</w:t>
      </w:r>
      <w:r>
        <w:rPr>
          <w:rFonts w:hint="eastAsia" w:ascii="Times New Roman" w:hAnsi="Times New Roman" w:eastAsia="仿宋_GB2312" w:cs="仿宋_GB2312"/>
          <w:b w:val="0"/>
          <w:bCs w:val="0"/>
          <w:snapToGrid/>
          <w:color w:val="auto"/>
          <w:kern w:val="2"/>
          <w:sz w:val="32"/>
          <w:szCs w:val="32"/>
          <w:highlight w:val="none"/>
          <w:lang w:val="en-US" w:eastAsia="zh-CN"/>
        </w:rPr>
        <w:t>4</w:t>
      </w:r>
      <w:r>
        <w:rPr>
          <w:rFonts w:hint="eastAsia" w:ascii="仿宋_GB2312" w:hAnsi="仿宋_GB2312" w:eastAsia="仿宋_GB2312" w:cs="仿宋_GB2312"/>
          <w:b w:val="0"/>
          <w:bCs w:val="0"/>
          <w:snapToGrid/>
          <w:color w:val="auto"/>
          <w:kern w:val="2"/>
          <w:sz w:val="32"/>
          <w:szCs w:val="32"/>
          <w:highlight w:val="none"/>
        </w:rPr>
        <w:t>小时的，或初判过火面积超过</w:t>
      </w:r>
      <w:r>
        <w:rPr>
          <w:rFonts w:hint="eastAsia" w:ascii="Times New Roman" w:hAnsi="Times New Roman" w:eastAsia="仿宋_GB2312" w:cs="仿宋_GB2312"/>
          <w:b w:val="0"/>
          <w:bCs w:val="0"/>
          <w:snapToGrid/>
          <w:color w:val="auto"/>
          <w:kern w:val="2"/>
          <w:sz w:val="32"/>
          <w:szCs w:val="32"/>
          <w:highlight w:val="none"/>
          <w:lang w:val="en-US" w:eastAsia="zh-CN"/>
        </w:rPr>
        <w:t>20</w:t>
      </w:r>
      <w:r>
        <w:rPr>
          <w:rFonts w:hint="eastAsia" w:ascii="仿宋_GB2312" w:hAnsi="仿宋_GB2312" w:eastAsia="仿宋_GB2312" w:cs="仿宋_GB2312"/>
          <w:b w:val="0"/>
          <w:bCs w:val="0"/>
          <w:snapToGrid/>
          <w:color w:val="auto"/>
          <w:kern w:val="2"/>
          <w:sz w:val="32"/>
          <w:szCs w:val="32"/>
          <w:highlight w:val="none"/>
        </w:rPr>
        <w:t>公顷的，或发生在</w:t>
      </w:r>
      <w:r>
        <w:rPr>
          <w:rFonts w:hint="eastAsia" w:ascii="仿宋_GB2312" w:hAnsi="仿宋_GB2312" w:eastAsia="仿宋_GB2312" w:cs="仿宋_GB2312"/>
          <w:b w:val="0"/>
          <w:bCs w:val="0"/>
          <w:snapToGrid/>
          <w:color w:val="auto"/>
          <w:kern w:val="2"/>
          <w:sz w:val="32"/>
          <w:szCs w:val="32"/>
          <w:highlight w:val="none"/>
          <w:lang w:eastAsia="zh-CN"/>
        </w:rPr>
        <w:t>市</w:t>
      </w:r>
      <w:r>
        <w:rPr>
          <w:rFonts w:hint="eastAsia" w:ascii="仿宋_GB2312" w:hAnsi="仿宋_GB2312" w:eastAsia="仿宋_GB2312" w:cs="仿宋_GB2312"/>
          <w:b w:val="0"/>
          <w:bCs w:val="0"/>
          <w:snapToGrid/>
          <w:color w:val="auto"/>
          <w:kern w:val="2"/>
          <w:sz w:val="32"/>
          <w:szCs w:val="32"/>
          <w:highlight w:val="none"/>
        </w:rPr>
        <w:t>级以上自然保护区、风景名胜区、森林公园等自然保护地的，或同时发生</w:t>
      </w:r>
      <w:r>
        <w:rPr>
          <w:rFonts w:hint="eastAsia" w:ascii="Times New Roman" w:hAnsi="Times New Roman" w:eastAsia="仿宋_GB2312" w:cs="仿宋_GB2312"/>
          <w:b w:val="0"/>
          <w:bCs w:val="0"/>
          <w:snapToGrid/>
          <w:color w:val="auto"/>
          <w:kern w:val="2"/>
          <w:sz w:val="32"/>
          <w:szCs w:val="32"/>
          <w:highlight w:val="none"/>
          <w:lang w:val="en-US" w:eastAsia="zh-CN"/>
        </w:rPr>
        <w:t>3</w:t>
      </w:r>
      <w:r>
        <w:rPr>
          <w:rFonts w:hint="eastAsia" w:ascii="仿宋_GB2312" w:hAnsi="仿宋_GB2312" w:eastAsia="仿宋_GB2312" w:cs="仿宋_GB2312"/>
          <w:b w:val="0"/>
          <w:bCs w:val="0"/>
          <w:snapToGrid/>
          <w:color w:val="auto"/>
          <w:kern w:val="2"/>
          <w:sz w:val="32"/>
          <w:szCs w:val="32"/>
          <w:highlight w:val="none"/>
        </w:rPr>
        <w:t>起燃烧超过</w:t>
      </w:r>
      <w:r>
        <w:rPr>
          <w:rFonts w:hint="eastAsia" w:ascii="Times New Roman" w:hAnsi="Times New Roman" w:eastAsia="仿宋_GB2312" w:cs="仿宋_GB2312"/>
          <w:b w:val="0"/>
          <w:bCs w:val="0"/>
          <w:snapToGrid/>
          <w:color w:val="auto"/>
          <w:kern w:val="2"/>
          <w:sz w:val="32"/>
          <w:szCs w:val="32"/>
          <w:highlight w:val="none"/>
          <w:lang w:val="en-US" w:eastAsia="zh-CN"/>
        </w:rPr>
        <w:t>2</w:t>
      </w:r>
      <w:r>
        <w:rPr>
          <w:rFonts w:hint="eastAsia" w:ascii="仿宋_GB2312" w:hAnsi="仿宋_GB2312" w:eastAsia="仿宋_GB2312" w:cs="仿宋_GB2312"/>
          <w:b w:val="0"/>
          <w:bCs w:val="0"/>
          <w:snapToGrid/>
          <w:color w:val="auto"/>
          <w:kern w:val="2"/>
          <w:sz w:val="32"/>
          <w:szCs w:val="32"/>
          <w:highlight w:val="none"/>
        </w:rPr>
        <w:t>小时的，或发生在森林火险</w:t>
      </w:r>
      <w:r>
        <w:rPr>
          <w:rFonts w:hint="eastAsia" w:ascii="仿宋_GB2312" w:hAnsi="仿宋_GB2312" w:eastAsia="仿宋_GB2312" w:cs="仿宋_GB2312"/>
          <w:b w:val="0"/>
          <w:bCs w:val="0"/>
          <w:snapToGrid/>
          <w:color w:val="auto"/>
          <w:kern w:val="2"/>
          <w:sz w:val="32"/>
          <w:szCs w:val="32"/>
          <w:highlight w:val="none"/>
          <w:lang w:eastAsia="zh-CN"/>
        </w:rPr>
        <w:t>黄色</w:t>
      </w:r>
      <w:r>
        <w:rPr>
          <w:rFonts w:hint="eastAsia" w:ascii="仿宋_GB2312" w:hAnsi="仿宋_GB2312" w:eastAsia="仿宋_GB2312" w:cs="仿宋_GB2312"/>
          <w:b w:val="0"/>
          <w:bCs w:val="0"/>
          <w:snapToGrid/>
          <w:color w:val="auto"/>
          <w:kern w:val="2"/>
          <w:sz w:val="32"/>
          <w:szCs w:val="32"/>
          <w:highlight w:val="none"/>
        </w:rPr>
        <w:t>以上预警、</w:t>
      </w:r>
      <w:r>
        <w:rPr>
          <w:rFonts w:hint="eastAsia" w:ascii="Times New Roman" w:hAnsi="Times New Roman" w:eastAsia="仿宋_GB2312" w:cs="仿宋_GB2312"/>
          <w:b w:val="0"/>
          <w:bCs w:val="0"/>
          <w:snapToGrid/>
          <w:color w:val="auto"/>
          <w:kern w:val="2"/>
          <w:sz w:val="32"/>
          <w:szCs w:val="32"/>
          <w:highlight w:val="none"/>
          <w:lang w:val="en-US" w:eastAsia="zh-CN"/>
        </w:rPr>
        <w:t>5</w:t>
      </w:r>
      <w:r>
        <w:rPr>
          <w:rFonts w:hint="eastAsia" w:ascii="仿宋_GB2312" w:hAnsi="仿宋_GB2312" w:eastAsia="仿宋_GB2312" w:cs="仿宋_GB2312"/>
          <w:b w:val="0"/>
          <w:bCs w:val="0"/>
          <w:snapToGrid/>
          <w:color w:val="auto"/>
          <w:kern w:val="2"/>
          <w:sz w:val="32"/>
          <w:szCs w:val="32"/>
          <w:highlight w:val="none"/>
        </w:rPr>
        <w:t>级以上大风天气且燃烧时间超过</w:t>
      </w:r>
      <w:r>
        <w:rPr>
          <w:rFonts w:hint="eastAsia" w:ascii="Times New Roman" w:hAnsi="Times New Roman" w:eastAsia="仿宋_GB2312" w:cs="仿宋_GB2312"/>
          <w:b w:val="0"/>
          <w:bCs w:val="0"/>
          <w:snapToGrid/>
          <w:color w:val="auto"/>
          <w:kern w:val="2"/>
          <w:sz w:val="32"/>
          <w:szCs w:val="32"/>
          <w:highlight w:val="none"/>
          <w:lang w:val="en-US" w:eastAsia="zh-CN"/>
        </w:rPr>
        <w:t>2</w:t>
      </w:r>
      <w:r>
        <w:rPr>
          <w:rFonts w:hint="eastAsia" w:ascii="仿宋_GB2312" w:hAnsi="仿宋_GB2312" w:eastAsia="仿宋_GB2312" w:cs="仿宋_GB2312"/>
          <w:b w:val="0"/>
          <w:bCs w:val="0"/>
          <w:snapToGrid/>
          <w:color w:val="auto"/>
          <w:kern w:val="2"/>
          <w:sz w:val="32"/>
          <w:szCs w:val="32"/>
          <w:highlight w:val="none"/>
        </w:rPr>
        <w:t>小时的森林火灾。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b w:val="0"/>
          <w:bCs w:val="0"/>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32"/>
          <w:highlight w:val="none"/>
          <w:lang w:eastAsia="zh-CN"/>
        </w:rPr>
        <w:t>启动程序：由区森防指办公室请示区森防指总指挥同意后，</w:t>
      </w:r>
      <w:r>
        <w:rPr>
          <w:rFonts w:hint="eastAsia" w:ascii="仿宋_GB2312" w:hAnsi="仿宋_GB2312" w:eastAsia="仿宋_GB2312" w:cs="仿宋_GB2312"/>
          <w:b w:val="0"/>
          <w:bCs w:val="0"/>
          <w:snapToGrid/>
          <w:color w:val="auto"/>
          <w:kern w:val="2"/>
          <w:sz w:val="32"/>
          <w:szCs w:val="32"/>
          <w:highlight w:val="none"/>
        </w:rPr>
        <w:t>报请市森防指办公室主任决定启动Ⅲ级响应。区按照本级预案规定，成立区森防指现场指挥部开展相关应急处置工作。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b w:val="0"/>
          <w:bCs w:val="0"/>
          <w:snapToGrid/>
          <w:color w:val="auto"/>
          <w:kern w:val="2"/>
          <w:sz w:val="32"/>
          <w:szCs w:val="32"/>
          <w:highlight w:val="none"/>
          <w:lang w:eastAsia="zh-CN"/>
        </w:rPr>
      </w:pPr>
      <w:r>
        <w:rPr>
          <w:rFonts w:hint="eastAsia" w:ascii="仿宋_GB2312" w:hAnsi="仿宋_GB2312" w:eastAsia="仿宋_GB2312" w:cs="仿宋_GB2312"/>
          <w:b w:val="0"/>
          <w:bCs w:val="0"/>
          <w:snapToGrid/>
          <w:color w:val="auto"/>
          <w:kern w:val="2"/>
          <w:sz w:val="32"/>
          <w:szCs w:val="32"/>
          <w:highlight w:val="none"/>
          <w:lang w:eastAsia="zh-CN"/>
        </w:rPr>
        <w:t>响应措施：</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snapToGrid/>
          <w:color w:val="auto"/>
          <w:kern w:val="2"/>
          <w:sz w:val="32"/>
          <w:szCs w:val="32"/>
          <w:highlight w:val="none"/>
          <w:lang w:eastAsia="zh-CN"/>
        </w:rPr>
      </w:pPr>
      <w:r>
        <w:rPr>
          <w:rFonts w:hint="eastAsia" w:ascii="仿宋_GB2312" w:hAnsi="仿宋_GB2312" w:eastAsia="仿宋_GB2312" w:cs="仿宋_GB2312"/>
          <w:b w:val="0"/>
          <w:bCs w:val="0"/>
          <w:snapToGrid/>
          <w:color w:val="auto"/>
          <w:kern w:val="2"/>
          <w:sz w:val="32"/>
          <w:szCs w:val="32"/>
          <w:highlight w:val="none"/>
          <w:lang w:eastAsia="zh-CN"/>
        </w:rPr>
        <w:t>（</w:t>
      </w:r>
      <w:r>
        <w:rPr>
          <w:rFonts w:hint="eastAsia" w:ascii="Times New Roman" w:hAnsi="Times New Roman" w:eastAsia="仿宋_GB2312" w:cs="仿宋_GB2312"/>
          <w:b w:val="0"/>
          <w:bCs w:val="0"/>
          <w:snapToGrid/>
          <w:color w:val="auto"/>
          <w:kern w:val="2"/>
          <w:sz w:val="32"/>
          <w:szCs w:val="32"/>
          <w:highlight w:val="none"/>
          <w:lang w:val="en-US" w:eastAsia="zh-CN"/>
        </w:rPr>
        <w:t>1</w:t>
      </w:r>
      <w:r>
        <w:rPr>
          <w:rFonts w:hint="eastAsia" w:ascii="仿宋_GB2312" w:hAnsi="仿宋_GB2312" w:eastAsia="仿宋_GB2312" w:cs="仿宋_GB2312"/>
          <w:b w:val="0"/>
          <w:bCs w:val="0"/>
          <w:snapToGrid/>
          <w:color w:val="auto"/>
          <w:kern w:val="2"/>
          <w:sz w:val="32"/>
          <w:szCs w:val="32"/>
          <w:highlight w:val="none"/>
          <w:lang w:eastAsia="zh-CN"/>
        </w:rPr>
        <w:t>）区政府主要负责同志带领区森防指相关部门负责同志赶赴现场组织处置火情处</w:t>
      </w:r>
      <w:r>
        <w:rPr>
          <w:rFonts w:hint="eastAsia" w:ascii="仿宋_GB2312" w:hAnsi="仿宋_GB2312" w:eastAsia="仿宋_GB2312" w:cs="仿宋_GB2312"/>
          <w:snapToGrid/>
          <w:color w:val="auto"/>
          <w:kern w:val="2"/>
          <w:sz w:val="32"/>
          <w:szCs w:val="32"/>
          <w:highlight w:val="none"/>
          <w:lang w:eastAsia="zh-CN"/>
        </w:rPr>
        <w:t>理善后工作。</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snapToGrid/>
          <w:color w:val="auto"/>
          <w:kern w:val="2"/>
          <w:sz w:val="32"/>
          <w:szCs w:val="32"/>
          <w:highlight w:val="none"/>
          <w:lang w:eastAsia="zh-CN"/>
        </w:rPr>
      </w:pPr>
      <w:r>
        <w:rPr>
          <w:rFonts w:hint="eastAsia" w:ascii="仿宋_GB2312" w:hAnsi="仿宋_GB2312" w:eastAsia="仿宋_GB2312" w:cs="仿宋_GB2312"/>
          <w:snapToGrid/>
          <w:color w:val="auto"/>
          <w:kern w:val="2"/>
          <w:sz w:val="32"/>
          <w:szCs w:val="32"/>
          <w:highlight w:val="none"/>
          <w:lang w:eastAsia="zh-CN"/>
        </w:rPr>
        <w:t>（</w:t>
      </w:r>
      <w:r>
        <w:rPr>
          <w:rFonts w:hint="eastAsia" w:ascii="Times New Roman" w:hAnsi="Times New Roman" w:eastAsia="仿宋_GB2312" w:cs="仿宋_GB2312"/>
          <w:snapToGrid/>
          <w:color w:val="auto"/>
          <w:kern w:val="2"/>
          <w:sz w:val="32"/>
          <w:szCs w:val="32"/>
          <w:highlight w:val="none"/>
          <w:lang w:val="en-US" w:eastAsia="zh-CN"/>
        </w:rPr>
        <w:t>2</w:t>
      </w:r>
      <w:r>
        <w:rPr>
          <w:rFonts w:hint="eastAsia" w:ascii="仿宋_GB2312" w:hAnsi="仿宋_GB2312" w:eastAsia="仿宋_GB2312" w:cs="仿宋_GB2312"/>
          <w:snapToGrid/>
          <w:color w:val="auto"/>
          <w:kern w:val="2"/>
          <w:sz w:val="32"/>
          <w:szCs w:val="32"/>
          <w:highlight w:val="none"/>
          <w:lang w:eastAsia="zh-CN"/>
        </w:rPr>
        <w:t>）市森防指办公室将派出工作组进驻现场指挥部，会同现场总指挥一并开展应急处置工作。</w:t>
      </w:r>
    </w:p>
    <w:p>
      <w:pPr>
        <w:pStyle w:val="30"/>
        <w:keepNext w:val="0"/>
        <w:keepLines w:val="0"/>
        <w:pageBreakBefore w:val="0"/>
        <w:widowControl w:val="0"/>
        <w:kinsoku/>
        <w:wordWrap/>
        <w:overflowPunct/>
        <w:topLinePunct w:val="0"/>
        <w:autoSpaceDE/>
        <w:autoSpaceDN/>
        <w:bidi w:val="0"/>
        <w:adjustRightInd/>
        <w:snapToGrid/>
        <w:spacing w:line="570" w:lineRule="exact"/>
        <w:ind w:left="0" w:leftChars="0" w:firstLine="632" w:firstLineChars="200"/>
        <w:textAlignment w:val="auto"/>
        <w:outlineLvl w:val="2"/>
        <w:rPr>
          <w:rFonts w:hint="eastAsia" w:ascii="仿宋_GB2312" w:hAnsi="仿宋_GB2312" w:eastAsia="仿宋_GB2312" w:cs="仿宋_GB2312"/>
          <w:snapToGrid/>
          <w:color w:val="auto"/>
          <w:kern w:val="2"/>
          <w:highlight w:val="none"/>
        </w:rPr>
      </w:pPr>
      <w:bookmarkStart w:id="208" w:name="_Toc31150"/>
      <w:bookmarkStart w:id="209" w:name="_Toc32150"/>
      <w:bookmarkStart w:id="210" w:name="_Toc29083"/>
      <w:bookmarkStart w:id="211" w:name="_Toc11836"/>
      <w:r>
        <w:rPr>
          <w:rFonts w:hint="eastAsia" w:ascii="仿宋_GB2312" w:hAnsi="仿宋_GB2312" w:eastAsia="仿宋_GB2312" w:cs="仿宋_GB2312"/>
          <w:snapToGrid/>
          <w:color w:val="auto"/>
          <w:kern w:val="2"/>
          <w:highlight w:val="none"/>
          <w:lang w:val="en-US" w:eastAsia="zh-CN"/>
        </w:rPr>
        <w:t>特殊情形应急响应</w:t>
      </w:r>
      <w:bookmarkEnd w:id="208"/>
      <w:bookmarkEnd w:id="209"/>
      <w:bookmarkEnd w:id="210"/>
      <w:bookmarkEnd w:id="211"/>
      <w:r>
        <w:rPr>
          <w:rFonts w:hint="eastAsia" w:ascii="仿宋_GB2312" w:hAnsi="仿宋_GB2312" w:eastAsia="仿宋_GB2312" w:cs="仿宋_GB2312"/>
          <w:snapToGrid/>
          <w:color w:val="auto"/>
          <w:kern w:val="2"/>
          <w:highlight w:val="none"/>
          <w:lang w:val="en-US" w:eastAsia="zh-CN"/>
        </w:rPr>
        <w:t>：</w:t>
      </w:r>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snapToGrid/>
          <w:color w:val="auto"/>
          <w:kern w:val="2"/>
          <w:sz w:val="32"/>
          <w:szCs w:val="32"/>
          <w:highlight w:val="none"/>
        </w:rPr>
      </w:pPr>
      <w:bookmarkStart w:id="212" w:name="_Toc2386"/>
      <w:bookmarkStart w:id="213" w:name="_Toc25722"/>
      <w:bookmarkStart w:id="214" w:name="_Toc28548"/>
      <w:bookmarkStart w:id="215" w:name="_Toc3221"/>
      <w:bookmarkStart w:id="216" w:name="_Toc32040"/>
      <w:bookmarkStart w:id="217" w:name="_Toc6339"/>
      <w:bookmarkStart w:id="218" w:name="_Toc1721"/>
      <w:bookmarkStart w:id="219" w:name="_Toc19865"/>
      <w:r>
        <w:rPr>
          <w:rFonts w:hint="eastAsia" w:ascii="仿宋_GB2312" w:hAnsi="仿宋_GB2312" w:eastAsia="仿宋_GB2312" w:cs="仿宋_GB2312"/>
          <w:snapToGrid/>
          <w:color w:val="auto"/>
          <w:kern w:val="2"/>
          <w:sz w:val="32"/>
          <w:szCs w:val="20"/>
          <w:highlight w:val="none"/>
        </w:rPr>
        <w:t>当森林火灾持续燃烧</w:t>
      </w:r>
      <w:r>
        <w:rPr>
          <w:rFonts w:hint="eastAsia" w:ascii="Times New Roman" w:hAnsi="Times New Roman" w:eastAsia="仿宋_GB2312" w:cs="仿宋_GB2312"/>
          <w:snapToGrid/>
          <w:color w:val="auto"/>
          <w:kern w:val="2"/>
          <w:sz w:val="32"/>
          <w:szCs w:val="20"/>
          <w:highlight w:val="none"/>
        </w:rPr>
        <w:t>8</w:t>
      </w:r>
      <w:r>
        <w:rPr>
          <w:rFonts w:hint="eastAsia" w:ascii="仿宋_GB2312" w:hAnsi="仿宋_GB2312" w:eastAsia="仿宋_GB2312" w:cs="仿宋_GB2312"/>
          <w:snapToGrid/>
          <w:color w:val="auto"/>
          <w:kern w:val="2"/>
          <w:sz w:val="32"/>
          <w:szCs w:val="20"/>
          <w:highlight w:val="none"/>
        </w:rPr>
        <w:t>小时尚未得到有效控制时，区政府主要负责同志带领区森防指相关部门负责同志赶赴现场组织处置火情</w:t>
      </w:r>
      <w:r>
        <w:rPr>
          <w:rFonts w:hint="eastAsia" w:ascii="仿宋_GB2312" w:hAnsi="仿宋_GB2312" w:eastAsia="仿宋_GB2312" w:cs="仿宋_GB2312"/>
          <w:snapToGrid/>
          <w:color w:val="auto"/>
          <w:kern w:val="2"/>
          <w:sz w:val="32"/>
          <w:szCs w:val="20"/>
          <w:highlight w:val="none"/>
          <w:lang w:eastAsia="zh-CN"/>
        </w:rPr>
        <w:t>、</w:t>
      </w:r>
      <w:r>
        <w:rPr>
          <w:rFonts w:hint="eastAsia" w:ascii="仿宋_GB2312" w:hAnsi="仿宋_GB2312" w:eastAsia="仿宋_GB2312" w:cs="仿宋_GB2312"/>
          <w:snapToGrid/>
          <w:color w:val="auto"/>
          <w:kern w:val="2"/>
          <w:sz w:val="32"/>
          <w:szCs w:val="20"/>
          <w:highlight w:val="none"/>
        </w:rPr>
        <w:t>处理善后工作；</w:t>
      </w:r>
      <w:r>
        <w:rPr>
          <w:rFonts w:hint="eastAsia" w:ascii="仿宋_GB2312" w:hAnsi="仿宋_GB2312" w:eastAsia="仿宋_GB2312" w:cs="仿宋_GB2312"/>
          <w:snapToGrid/>
          <w:color w:val="auto"/>
          <w:kern w:val="2"/>
          <w:sz w:val="32"/>
          <w:szCs w:val="32"/>
          <w:highlight w:val="none"/>
        </w:rPr>
        <w:t>当森林火灾持续燃烧</w:t>
      </w:r>
      <w:r>
        <w:rPr>
          <w:rFonts w:hint="eastAsia" w:ascii="Times New Roman" w:hAnsi="Times New Roman" w:eastAsia="仿宋_GB2312" w:cs="仿宋_GB2312"/>
          <w:snapToGrid/>
          <w:color w:val="auto"/>
          <w:kern w:val="2"/>
          <w:sz w:val="32"/>
          <w:szCs w:val="32"/>
          <w:highlight w:val="none"/>
        </w:rPr>
        <w:t>12</w:t>
      </w:r>
      <w:r>
        <w:rPr>
          <w:rFonts w:hint="eastAsia" w:ascii="仿宋_GB2312" w:hAnsi="仿宋_GB2312" w:eastAsia="仿宋_GB2312" w:cs="仿宋_GB2312"/>
          <w:snapToGrid/>
          <w:color w:val="auto"/>
          <w:kern w:val="2"/>
          <w:sz w:val="32"/>
          <w:szCs w:val="32"/>
          <w:highlight w:val="none"/>
        </w:rPr>
        <w:t>小时仍未得到有效控制时，区委主要负责同志带领相关部门负责同志赶赴现场组织指导扑火救灾工作；同时发生</w:t>
      </w:r>
      <w:r>
        <w:rPr>
          <w:rFonts w:hint="eastAsia" w:ascii="Times New Roman" w:hAnsi="Times New Roman" w:eastAsia="仿宋_GB2312" w:cs="仿宋_GB2312"/>
          <w:snapToGrid/>
          <w:color w:val="auto"/>
          <w:kern w:val="2"/>
          <w:sz w:val="32"/>
          <w:szCs w:val="32"/>
          <w:highlight w:val="none"/>
        </w:rPr>
        <w:t>3</w:t>
      </w:r>
      <w:r>
        <w:rPr>
          <w:rFonts w:hint="eastAsia" w:ascii="仿宋_GB2312" w:hAnsi="仿宋_GB2312" w:eastAsia="仿宋_GB2312" w:cs="仿宋_GB2312"/>
          <w:snapToGrid/>
          <w:color w:val="auto"/>
          <w:kern w:val="2"/>
          <w:sz w:val="32"/>
          <w:szCs w:val="32"/>
          <w:highlight w:val="none"/>
        </w:rPr>
        <w:t>起以上燃烧超过</w:t>
      </w:r>
      <w:r>
        <w:rPr>
          <w:rFonts w:hint="eastAsia" w:ascii="Times New Roman" w:hAnsi="Times New Roman" w:eastAsia="仿宋_GB2312" w:cs="仿宋_GB2312"/>
          <w:snapToGrid/>
          <w:color w:val="auto"/>
          <w:kern w:val="2"/>
          <w:sz w:val="32"/>
          <w:szCs w:val="32"/>
          <w:highlight w:val="none"/>
        </w:rPr>
        <w:t>2</w:t>
      </w:r>
      <w:r>
        <w:rPr>
          <w:rFonts w:hint="eastAsia" w:ascii="仿宋_GB2312" w:hAnsi="仿宋_GB2312" w:eastAsia="仿宋_GB2312" w:cs="仿宋_GB2312"/>
          <w:snapToGrid/>
          <w:color w:val="auto"/>
          <w:kern w:val="2"/>
          <w:sz w:val="32"/>
          <w:szCs w:val="32"/>
          <w:highlight w:val="none"/>
        </w:rPr>
        <w:t>小时的森林火灾</w:t>
      </w:r>
      <w:r>
        <w:rPr>
          <w:rFonts w:hint="eastAsia" w:ascii="仿宋_GB2312" w:hAnsi="仿宋_GB2312" w:eastAsia="仿宋_GB2312" w:cs="仿宋_GB2312"/>
          <w:snapToGrid/>
          <w:color w:val="auto"/>
          <w:kern w:val="2"/>
          <w:sz w:val="32"/>
          <w:szCs w:val="32"/>
          <w:highlight w:val="none"/>
          <w:lang w:eastAsia="zh-CN"/>
        </w:rPr>
        <w:t>时，属地镇街负责森林火灾应急处置；</w:t>
      </w:r>
      <w:r>
        <w:rPr>
          <w:rFonts w:hint="eastAsia" w:ascii="仿宋_GB2312" w:hAnsi="仿宋_GB2312" w:eastAsia="仿宋_GB2312" w:cs="仿宋_GB2312"/>
          <w:snapToGrid/>
          <w:color w:val="auto"/>
          <w:kern w:val="2"/>
          <w:sz w:val="32"/>
          <w:szCs w:val="20"/>
          <w:highlight w:val="none"/>
        </w:rPr>
        <w:t>发生因火灾造成</w:t>
      </w:r>
      <w:r>
        <w:rPr>
          <w:rFonts w:hint="eastAsia" w:ascii="Times New Roman" w:hAnsi="Times New Roman" w:eastAsia="仿宋_GB2312" w:cs="仿宋_GB2312"/>
          <w:snapToGrid/>
          <w:color w:val="auto"/>
          <w:kern w:val="2"/>
          <w:sz w:val="32"/>
          <w:szCs w:val="20"/>
          <w:highlight w:val="none"/>
        </w:rPr>
        <w:t>3</w:t>
      </w:r>
      <w:r>
        <w:rPr>
          <w:rFonts w:hint="eastAsia" w:ascii="仿宋_GB2312" w:hAnsi="仿宋_GB2312" w:eastAsia="仿宋_GB2312" w:cs="仿宋_GB2312"/>
          <w:snapToGrid/>
          <w:color w:val="auto"/>
          <w:kern w:val="2"/>
          <w:sz w:val="32"/>
          <w:szCs w:val="20"/>
          <w:highlight w:val="none"/>
        </w:rPr>
        <w:t>人以上死亡或</w:t>
      </w:r>
      <w:r>
        <w:rPr>
          <w:rFonts w:hint="eastAsia" w:ascii="Times New Roman" w:hAnsi="Times New Roman" w:eastAsia="仿宋_GB2312" w:cs="仿宋_GB2312"/>
          <w:snapToGrid/>
          <w:color w:val="auto"/>
          <w:kern w:val="2"/>
          <w:sz w:val="32"/>
          <w:szCs w:val="20"/>
          <w:highlight w:val="none"/>
        </w:rPr>
        <w:t>10</w:t>
      </w:r>
      <w:r>
        <w:rPr>
          <w:rFonts w:hint="eastAsia" w:ascii="仿宋_GB2312" w:hAnsi="仿宋_GB2312" w:eastAsia="仿宋_GB2312" w:cs="仿宋_GB2312"/>
          <w:snapToGrid/>
          <w:color w:val="auto"/>
          <w:kern w:val="2"/>
          <w:sz w:val="32"/>
          <w:szCs w:val="20"/>
          <w:highlight w:val="none"/>
        </w:rPr>
        <w:t>人以上重伤的，或持续燃烧时间</w:t>
      </w:r>
      <w:r>
        <w:rPr>
          <w:rFonts w:hint="eastAsia" w:ascii="Times New Roman" w:hAnsi="Times New Roman" w:eastAsia="仿宋_GB2312" w:cs="仿宋_GB2312"/>
          <w:snapToGrid/>
          <w:color w:val="auto"/>
          <w:kern w:val="2"/>
          <w:sz w:val="32"/>
          <w:szCs w:val="20"/>
          <w:highlight w:val="none"/>
        </w:rPr>
        <w:t>20</w:t>
      </w:r>
      <w:r>
        <w:rPr>
          <w:rFonts w:hint="eastAsia" w:ascii="仿宋_GB2312" w:hAnsi="仿宋_GB2312" w:eastAsia="仿宋_GB2312" w:cs="仿宋_GB2312"/>
          <w:snapToGrid/>
          <w:color w:val="auto"/>
          <w:kern w:val="2"/>
          <w:sz w:val="32"/>
          <w:szCs w:val="20"/>
          <w:highlight w:val="none"/>
        </w:rPr>
        <w:t>小时尚未得到有效控制的森林火灾</w:t>
      </w:r>
      <w:r>
        <w:rPr>
          <w:rFonts w:hint="eastAsia" w:ascii="仿宋_GB2312" w:hAnsi="仿宋_GB2312" w:eastAsia="仿宋_GB2312" w:cs="仿宋_GB2312"/>
          <w:snapToGrid/>
          <w:color w:val="auto"/>
          <w:kern w:val="2"/>
          <w:sz w:val="32"/>
          <w:szCs w:val="20"/>
          <w:highlight w:val="none"/>
          <w:lang w:eastAsia="zh-CN"/>
        </w:rPr>
        <w:t>，区委、区政府主要负责同志带领相关部门负责同志赶赴现场组织做好扑火救灾和善后工作</w:t>
      </w:r>
      <w:r>
        <w:rPr>
          <w:rFonts w:hint="eastAsia" w:ascii="仿宋_GB2312" w:hAnsi="仿宋_GB2312" w:eastAsia="仿宋_GB2312" w:cs="仿宋_GB2312"/>
          <w:snapToGrid/>
          <w:color w:val="auto"/>
          <w:kern w:val="2"/>
          <w:sz w:val="32"/>
          <w:szCs w:val="32"/>
          <w:highlight w:val="none"/>
        </w:rPr>
        <w:t>。</w:t>
      </w:r>
      <w:bookmarkEnd w:id="212"/>
      <w:bookmarkEnd w:id="213"/>
      <w:bookmarkEnd w:id="214"/>
      <w:bookmarkEnd w:id="215"/>
      <w:bookmarkEnd w:id="216"/>
      <w:bookmarkEnd w:id="217"/>
      <w:bookmarkEnd w:id="218"/>
      <w:bookmarkEnd w:id="219"/>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220" w:name="_Toc10549"/>
      <w:bookmarkStart w:id="221" w:name="_Toc18194"/>
      <w:bookmarkStart w:id="222" w:name="_Toc29660"/>
      <w:bookmarkStart w:id="223" w:name="_Toc29872"/>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4</w:t>
      </w:r>
      <w:r>
        <w:rPr>
          <w:rFonts w:hint="eastAsia" w:ascii="仿宋_GB2312" w:hAnsi="仿宋_GB2312" w:eastAsia="仿宋_GB2312" w:cs="仿宋_GB2312"/>
          <w:snapToGrid/>
          <w:color w:val="auto"/>
          <w:kern w:val="2"/>
          <w:highlight w:val="none"/>
        </w:rPr>
        <w:t>Ⅱ级</w:t>
      </w:r>
      <w:r>
        <w:rPr>
          <w:rFonts w:hint="eastAsia" w:ascii="仿宋_GB2312" w:hAnsi="仿宋_GB2312" w:eastAsia="仿宋_GB2312" w:cs="仿宋_GB2312"/>
          <w:snapToGrid/>
          <w:color w:val="auto"/>
          <w:kern w:val="2"/>
          <w:highlight w:val="none"/>
          <w:lang w:eastAsia="zh-CN"/>
        </w:rPr>
        <w:t>应急</w:t>
      </w:r>
      <w:r>
        <w:rPr>
          <w:rFonts w:hint="eastAsia" w:ascii="仿宋_GB2312" w:hAnsi="仿宋_GB2312" w:eastAsia="仿宋_GB2312" w:cs="仿宋_GB2312"/>
          <w:snapToGrid/>
          <w:color w:val="auto"/>
          <w:kern w:val="2"/>
          <w:highlight w:val="none"/>
        </w:rPr>
        <w:t>响应</w:t>
      </w:r>
      <w:bookmarkEnd w:id="220"/>
      <w:bookmarkEnd w:id="221"/>
      <w:bookmarkEnd w:id="222"/>
      <w:bookmarkEnd w:id="223"/>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32"/>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启动条件：</w:t>
      </w:r>
      <w:r>
        <w:rPr>
          <w:rFonts w:hint="eastAsia" w:ascii="仿宋_GB2312" w:hAnsi="仿宋_GB2312" w:eastAsia="仿宋_GB2312" w:cs="仿宋_GB2312"/>
          <w:b w:val="0"/>
          <w:bCs w:val="0"/>
          <w:snapToGrid/>
          <w:color w:val="auto"/>
          <w:kern w:val="2"/>
          <w:sz w:val="32"/>
          <w:szCs w:val="32"/>
          <w:highlight w:val="none"/>
        </w:rPr>
        <w:t>持续燃烧时间超过</w:t>
      </w:r>
      <w:r>
        <w:rPr>
          <w:rFonts w:hint="eastAsia" w:ascii="Times New Roman" w:hAnsi="Times New Roman" w:eastAsia="仿宋_GB2312" w:cs="仿宋_GB2312"/>
          <w:b w:val="0"/>
          <w:bCs w:val="0"/>
          <w:snapToGrid/>
          <w:color w:val="auto"/>
          <w:kern w:val="2"/>
          <w:sz w:val="32"/>
          <w:szCs w:val="32"/>
          <w:highlight w:val="none"/>
          <w:lang w:val="en-US" w:eastAsia="zh-CN"/>
        </w:rPr>
        <w:t>36</w:t>
      </w:r>
      <w:r>
        <w:rPr>
          <w:rFonts w:hint="eastAsia" w:ascii="仿宋_GB2312" w:hAnsi="仿宋_GB2312" w:eastAsia="仿宋_GB2312" w:cs="仿宋_GB2312"/>
          <w:b w:val="0"/>
          <w:bCs w:val="0"/>
          <w:snapToGrid/>
          <w:color w:val="auto"/>
          <w:kern w:val="2"/>
          <w:sz w:val="32"/>
          <w:szCs w:val="32"/>
          <w:highlight w:val="none"/>
        </w:rPr>
        <w:t>小时的，或初判过火面积超过</w:t>
      </w:r>
      <w:r>
        <w:rPr>
          <w:rFonts w:hint="eastAsia" w:ascii="Times New Roman" w:hAnsi="Times New Roman" w:eastAsia="仿宋_GB2312" w:cs="仿宋_GB2312"/>
          <w:b w:val="0"/>
          <w:bCs w:val="0"/>
          <w:snapToGrid/>
          <w:color w:val="auto"/>
          <w:kern w:val="2"/>
          <w:sz w:val="32"/>
          <w:szCs w:val="32"/>
          <w:highlight w:val="none"/>
          <w:lang w:val="en-US" w:eastAsia="zh-CN"/>
        </w:rPr>
        <w:t>300</w:t>
      </w:r>
      <w:r>
        <w:rPr>
          <w:rFonts w:hint="eastAsia" w:ascii="仿宋_GB2312" w:hAnsi="仿宋_GB2312" w:eastAsia="仿宋_GB2312" w:cs="仿宋_GB2312"/>
          <w:b w:val="0"/>
          <w:bCs w:val="0"/>
          <w:snapToGrid/>
          <w:color w:val="auto"/>
          <w:kern w:val="2"/>
          <w:sz w:val="32"/>
          <w:szCs w:val="32"/>
          <w:highlight w:val="none"/>
        </w:rPr>
        <w:t>公顷的森林火灾。</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 w:val="32"/>
          <w:szCs w:val="20"/>
          <w:highlight w:val="none"/>
          <w:lang w:val="en-US" w:eastAsia="zh-CN"/>
        </w:rPr>
      </w:pPr>
      <w:r>
        <w:rPr>
          <w:rFonts w:hint="eastAsia" w:ascii="仿宋_GB2312" w:hAnsi="仿宋_GB2312" w:eastAsia="仿宋_GB2312" w:cs="仿宋_GB2312"/>
          <w:b w:val="0"/>
          <w:bCs w:val="0"/>
          <w:snapToGrid/>
          <w:color w:val="auto"/>
          <w:kern w:val="2"/>
          <w:sz w:val="32"/>
          <w:szCs w:val="20"/>
          <w:highlight w:val="none"/>
          <w:lang w:val="en-US" w:eastAsia="zh-CN"/>
        </w:rPr>
        <w:t>启动程序：由区森防指办公室请示区森防指总指挥同意后，报请市森防指办公室主任决定启动Ⅱ级响应。</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响应措施：</w:t>
      </w:r>
      <w:r>
        <w:rPr>
          <w:rFonts w:hint="eastAsia" w:ascii="仿宋_GB2312" w:hAnsi="仿宋_GB2312" w:eastAsia="仿宋_GB2312" w:cs="仿宋_GB2312"/>
          <w:b w:val="0"/>
          <w:bCs w:val="0"/>
          <w:snapToGrid/>
          <w:color w:val="auto"/>
          <w:kern w:val="2"/>
          <w:sz w:val="32"/>
          <w:highlight w:val="none"/>
          <w:lang w:val="en-US" w:eastAsia="zh-CN"/>
        </w:rPr>
        <w:t>在</w:t>
      </w:r>
      <w:r>
        <w:rPr>
          <w:rFonts w:hint="eastAsia" w:ascii="仿宋_GB2312" w:hAnsi="仿宋_GB2312" w:eastAsia="仿宋_GB2312" w:cs="仿宋_GB2312"/>
          <w:b w:val="0"/>
          <w:bCs w:val="0"/>
          <w:snapToGrid/>
          <w:color w:val="auto"/>
          <w:kern w:val="2"/>
          <w:sz w:val="32"/>
          <w:highlight w:val="none"/>
        </w:rPr>
        <w:t>Ⅲ</w:t>
      </w:r>
      <w:r>
        <w:rPr>
          <w:rFonts w:hint="eastAsia" w:ascii="仿宋_GB2312" w:hAnsi="仿宋_GB2312" w:eastAsia="仿宋_GB2312" w:cs="仿宋_GB2312"/>
          <w:b w:val="0"/>
          <w:bCs w:val="0"/>
          <w:snapToGrid/>
          <w:color w:val="auto"/>
          <w:kern w:val="2"/>
          <w:sz w:val="32"/>
          <w:highlight w:val="none"/>
          <w:lang w:eastAsia="zh-CN"/>
        </w:rPr>
        <w:t>级响应的基础上，扩大应急动员，</w:t>
      </w:r>
      <w:r>
        <w:rPr>
          <w:rFonts w:hint="eastAsia" w:ascii="仿宋_GB2312" w:hAnsi="仿宋_GB2312" w:eastAsia="仿宋_GB2312" w:cs="仿宋_GB2312"/>
          <w:b w:val="0"/>
          <w:bCs w:val="0"/>
          <w:snapToGrid/>
          <w:color w:val="auto"/>
          <w:kern w:val="2"/>
          <w:sz w:val="32"/>
          <w:highlight w:val="none"/>
        </w:rPr>
        <w:t>增加处置力量，全面配合</w:t>
      </w:r>
      <w:r>
        <w:rPr>
          <w:rFonts w:hint="eastAsia" w:ascii="仿宋_GB2312" w:hAnsi="仿宋_GB2312" w:eastAsia="仿宋_GB2312" w:cs="仿宋_GB2312"/>
          <w:b w:val="0"/>
          <w:bCs w:val="0"/>
          <w:snapToGrid/>
          <w:color w:val="auto"/>
          <w:kern w:val="2"/>
          <w:sz w:val="32"/>
          <w:highlight w:val="none"/>
          <w:lang w:eastAsia="zh-CN"/>
        </w:rPr>
        <w:t>市</w:t>
      </w:r>
      <w:r>
        <w:rPr>
          <w:rFonts w:hint="eastAsia" w:ascii="仿宋_GB2312" w:hAnsi="仿宋_GB2312" w:eastAsia="仿宋_GB2312" w:cs="仿宋_GB2312"/>
          <w:b w:val="0"/>
          <w:bCs w:val="0"/>
          <w:snapToGrid/>
          <w:color w:val="auto"/>
          <w:kern w:val="2"/>
          <w:sz w:val="32"/>
          <w:highlight w:val="none"/>
        </w:rPr>
        <w:t>森防指做好森林火灾应急处置工作。当</w:t>
      </w:r>
      <w:r>
        <w:rPr>
          <w:rFonts w:hint="eastAsia" w:ascii="仿宋_GB2312" w:hAnsi="仿宋_GB2312" w:eastAsia="仿宋_GB2312" w:cs="仿宋_GB2312"/>
          <w:b w:val="0"/>
          <w:bCs w:val="0"/>
          <w:snapToGrid/>
          <w:color w:val="auto"/>
          <w:kern w:val="2"/>
          <w:sz w:val="32"/>
          <w:highlight w:val="none"/>
          <w:lang w:eastAsia="zh-CN"/>
        </w:rPr>
        <w:t>市</w:t>
      </w:r>
      <w:r>
        <w:rPr>
          <w:rFonts w:hint="eastAsia" w:ascii="仿宋_GB2312" w:hAnsi="仿宋_GB2312" w:eastAsia="仿宋_GB2312" w:cs="仿宋_GB2312"/>
          <w:b w:val="0"/>
          <w:bCs w:val="0"/>
          <w:snapToGrid/>
          <w:color w:val="auto"/>
          <w:kern w:val="2"/>
          <w:sz w:val="32"/>
          <w:highlight w:val="none"/>
        </w:rPr>
        <w:t>森防指商调友邻</w:t>
      </w:r>
      <w:r>
        <w:rPr>
          <w:rFonts w:hint="eastAsia" w:ascii="仿宋_GB2312" w:hAnsi="仿宋_GB2312" w:eastAsia="仿宋_GB2312" w:cs="仿宋_GB2312"/>
          <w:b w:val="0"/>
          <w:bCs w:val="0"/>
          <w:snapToGrid/>
          <w:color w:val="auto"/>
          <w:kern w:val="2"/>
          <w:sz w:val="32"/>
          <w:highlight w:val="none"/>
          <w:lang w:eastAsia="zh-CN"/>
        </w:rPr>
        <w:t>区</w:t>
      </w:r>
      <w:r>
        <w:rPr>
          <w:rFonts w:hint="eastAsia" w:ascii="仿宋_GB2312" w:hAnsi="仿宋_GB2312" w:eastAsia="仿宋_GB2312" w:cs="仿宋_GB2312"/>
          <w:b w:val="0"/>
          <w:bCs w:val="0"/>
          <w:snapToGrid/>
          <w:color w:val="auto"/>
          <w:kern w:val="2"/>
          <w:sz w:val="32"/>
          <w:highlight w:val="none"/>
        </w:rPr>
        <w:t>森林消</w:t>
      </w:r>
      <w:r>
        <w:rPr>
          <w:rFonts w:hint="eastAsia" w:ascii="仿宋_GB2312" w:hAnsi="仿宋_GB2312" w:eastAsia="仿宋_GB2312" w:cs="仿宋_GB2312"/>
          <w:snapToGrid/>
          <w:color w:val="auto"/>
          <w:kern w:val="2"/>
          <w:sz w:val="32"/>
          <w:highlight w:val="none"/>
        </w:rPr>
        <w:t>防等应急力量增援时，成立工作专班，负责做好跨区</w:t>
      </w:r>
      <w:r>
        <w:rPr>
          <w:rFonts w:hint="eastAsia" w:ascii="仿宋_GB2312" w:hAnsi="仿宋_GB2312" w:eastAsia="仿宋_GB2312" w:cs="仿宋_GB2312"/>
          <w:snapToGrid/>
          <w:color w:val="auto"/>
          <w:kern w:val="2"/>
          <w:sz w:val="32"/>
          <w:highlight w:val="none"/>
          <w:lang w:eastAsia="zh-CN"/>
        </w:rPr>
        <w:t>域</w:t>
      </w:r>
      <w:r>
        <w:rPr>
          <w:rFonts w:hint="eastAsia" w:ascii="仿宋_GB2312" w:hAnsi="仿宋_GB2312" w:eastAsia="仿宋_GB2312" w:cs="仿宋_GB2312"/>
          <w:snapToGrid/>
          <w:color w:val="auto"/>
          <w:kern w:val="2"/>
          <w:sz w:val="32"/>
          <w:highlight w:val="none"/>
        </w:rPr>
        <w:t>增援队伍的食宿保障。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224" w:name="_Toc23349"/>
      <w:bookmarkStart w:id="225" w:name="_Toc14369"/>
      <w:bookmarkStart w:id="226" w:name="_Toc23932"/>
      <w:bookmarkStart w:id="227" w:name="_Toc19133"/>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5</w:t>
      </w:r>
      <w:r>
        <w:rPr>
          <w:rFonts w:hint="eastAsia" w:ascii="仿宋_GB2312" w:hAnsi="仿宋_GB2312" w:eastAsia="仿宋_GB2312" w:cs="仿宋_GB2312"/>
          <w:snapToGrid/>
          <w:color w:val="auto"/>
          <w:kern w:val="2"/>
          <w:highlight w:val="none"/>
        </w:rPr>
        <w:t>Ⅰ级</w:t>
      </w:r>
      <w:r>
        <w:rPr>
          <w:rFonts w:hint="eastAsia" w:ascii="仿宋_GB2312" w:hAnsi="仿宋_GB2312" w:eastAsia="仿宋_GB2312" w:cs="仿宋_GB2312"/>
          <w:snapToGrid/>
          <w:color w:val="auto"/>
          <w:kern w:val="2"/>
          <w:highlight w:val="none"/>
          <w:lang w:eastAsia="zh-CN"/>
        </w:rPr>
        <w:t>应急</w:t>
      </w:r>
      <w:r>
        <w:rPr>
          <w:rFonts w:hint="eastAsia" w:ascii="仿宋_GB2312" w:hAnsi="仿宋_GB2312" w:eastAsia="仿宋_GB2312" w:cs="仿宋_GB2312"/>
          <w:snapToGrid/>
          <w:color w:val="auto"/>
          <w:kern w:val="2"/>
          <w:highlight w:val="none"/>
        </w:rPr>
        <w:t>响应</w:t>
      </w:r>
      <w:bookmarkEnd w:id="224"/>
      <w:bookmarkEnd w:id="225"/>
      <w:bookmarkEnd w:id="226"/>
      <w:bookmarkEnd w:id="227"/>
    </w:p>
    <w:p>
      <w:pPr>
        <w:pStyle w:val="8"/>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Cs w:val="30"/>
          <w:highlight w:val="none"/>
        </w:rPr>
      </w:pPr>
      <w:r>
        <w:rPr>
          <w:rFonts w:hint="eastAsia" w:ascii="仿宋_GB2312" w:hAnsi="仿宋_GB2312" w:eastAsia="仿宋_GB2312" w:cs="仿宋_GB2312"/>
          <w:b w:val="0"/>
          <w:bCs w:val="0"/>
          <w:snapToGrid/>
          <w:color w:val="auto"/>
          <w:kern w:val="2"/>
          <w:sz w:val="32"/>
          <w:szCs w:val="20"/>
          <w:highlight w:val="none"/>
          <w:lang w:val="en-US" w:eastAsia="zh-CN"/>
        </w:rPr>
        <w:t>启动条件：</w:t>
      </w:r>
      <w:r>
        <w:rPr>
          <w:rFonts w:hint="eastAsia" w:ascii="仿宋_GB2312" w:hAnsi="仿宋_GB2312" w:eastAsia="仿宋_GB2312" w:cs="仿宋_GB2312"/>
          <w:b w:val="0"/>
          <w:bCs w:val="0"/>
          <w:snapToGrid/>
          <w:color w:val="auto"/>
          <w:kern w:val="2"/>
          <w:szCs w:val="30"/>
          <w:highlight w:val="none"/>
        </w:rPr>
        <w:t>持续燃烧时间超过</w:t>
      </w:r>
      <w:r>
        <w:rPr>
          <w:rFonts w:hint="eastAsia" w:ascii="Times New Roman" w:hAnsi="Times New Roman" w:eastAsia="仿宋_GB2312" w:cs="仿宋_GB2312"/>
          <w:b w:val="0"/>
          <w:bCs w:val="0"/>
          <w:snapToGrid/>
          <w:color w:val="auto"/>
          <w:kern w:val="2"/>
          <w:szCs w:val="30"/>
          <w:highlight w:val="none"/>
          <w:lang w:val="en-US" w:eastAsia="zh-CN"/>
        </w:rPr>
        <w:t>48</w:t>
      </w:r>
      <w:r>
        <w:rPr>
          <w:rFonts w:hint="eastAsia" w:ascii="仿宋_GB2312" w:hAnsi="仿宋_GB2312" w:eastAsia="仿宋_GB2312" w:cs="仿宋_GB2312"/>
          <w:b w:val="0"/>
          <w:bCs w:val="0"/>
          <w:snapToGrid/>
          <w:color w:val="auto"/>
          <w:kern w:val="2"/>
          <w:szCs w:val="30"/>
          <w:highlight w:val="none"/>
        </w:rPr>
        <w:t>小时仍未得到有效控制的，或初判过火面积</w:t>
      </w:r>
      <w:r>
        <w:rPr>
          <w:rFonts w:hint="eastAsia" w:ascii="Times New Roman" w:hAnsi="Times New Roman" w:eastAsia="仿宋_GB2312" w:cs="仿宋_GB2312"/>
          <w:b w:val="0"/>
          <w:bCs w:val="0"/>
          <w:snapToGrid/>
          <w:color w:val="auto"/>
          <w:kern w:val="2"/>
          <w:szCs w:val="30"/>
          <w:highlight w:val="none"/>
          <w:lang w:val="en-US" w:eastAsia="zh-CN"/>
        </w:rPr>
        <w:t>500</w:t>
      </w:r>
      <w:r>
        <w:rPr>
          <w:rFonts w:hint="eastAsia" w:ascii="仿宋_GB2312" w:hAnsi="仿宋_GB2312" w:eastAsia="仿宋_GB2312" w:cs="仿宋_GB2312"/>
          <w:b w:val="0"/>
          <w:bCs w:val="0"/>
          <w:snapToGrid/>
          <w:color w:val="auto"/>
          <w:kern w:val="2"/>
          <w:szCs w:val="30"/>
          <w:highlight w:val="none"/>
        </w:rPr>
        <w:t>公顷以上的森林火灾。</w:t>
      </w:r>
    </w:p>
    <w:p>
      <w:pPr>
        <w:pStyle w:val="8"/>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b w:val="0"/>
          <w:bCs w:val="0"/>
          <w:snapToGrid/>
          <w:color w:val="auto"/>
          <w:kern w:val="2"/>
          <w:szCs w:val="32"/>
          <w:highlight w:val="none"/>
        </w:rPr>
      </w:pPr>
      <w:r>
        <w:rPr>
          <w:rFonts w:hint="eastAsia" w:ascii="仿宋_GB2312" w:hAnsi="仿宋_GB2312" w:eastAsia="仿宋_GB2312" w:cs="仿宋_GB2312"/>
          <w:b w:val="0"/>
          <w:bCs w:val="0"/>
          <w:snapToGrid/>
          <w:color w:val="auto"/>
          <w:kern w:val="2"/>
          <w:szCs w:val="32"/>
          <w:highlight w:val="none"/>
          <w:lang w:eastAsia="zh-CN"/>
        </w:rPr>
        <w:t>启动程序：由</w:t>
      </w:r>
      <w:r>
        <w:rPr>
          <w:rFonts w:hint="eastAsia" w:ascii="仿宋_GB2312" w:hAnsi="仿宋_GB2312" w:eastAsia="仿宋_GB2312" w:cs="仿宋_GB2312"/>
          <w:b w:val="0"/>
          <w:bCs w:val="0"/>
          <w:snapToGrid/>
          <w:color w:val="auto"/>
          <w:kern w:val="2"/>
          <w:szCs w:val="32"/>
          <w:highlight w:val="none"/>
        </w:rPr>
        <w:t>市森防指现场指挥部组织会商研判，对森林火灾影响及发展趋势进行综合评估，判断现有力量难于控制灾情，报请市政府决定启动</w:t>
      </w:r>
      <w:r>
        <w:rPr>
          <w:rFonts w:hint="eastAsia" w:ascii="Times New Roman" w:hAnsi="Times New Roman" w:eastAsia="仿宋_GB2312" w:cs="仿宋_GB2312"/>
          <w:b w:val="0"/>
          <w:bCs w:val="0"/>
          <w:snapToGrid/>
          <w:color w:val="auto"/>
          <w:kern w:val="2"/>
          <w:szCs w:val="32"/>
          <w:highlight w:val="none"/>
        </w:rPr>
        <w:t>I</w:t>
      </w:r>
      <w:r>
        <w:rPr>
          <w:rFonts w:hint="eastAsia" w:ascii="仿宋_GB2312" w:hAnsi="仿宋_GB2312" w:eastAsia="仿宋_GB2312" w:cs="仿宋_GB2312"/>
          <w:b w:val="0"/>
          <w:bCs w:val="0"/>
          <w:snapToGrid/>
          <w:color w:val="auto"/>
          <w:kern w:val="2"/>
          <w:szCs w:val="32"/>
          <w:highlight w:val="none"/>
        </w:rPr>
        <w:t>级响应。</w:t>
      </w:r>
    </w:p>
    <w:p>
      <w:pPr>
        <w:pStyle w:val="8"/>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Cs w:val="32"/>
          <w:highlight w:val="none"/>
        </w:rPr>
      </w:pPr>
      <w:r>
        <w:rPr>
          <w:rFonts w:hint="eastAsia" w:ascii="仿宋_GB2312" w:hAnsi="仿宋_GB2312" w:eastAsia="仿宋_GB2312" w:cs="仿宋_GB2312"/>
          <w:b w:val="0"/>
          <w:bCs w:val="0"/>
          <w:snapToGrid/>
          <w:color w:val="auto"/>
          <w:kern w:val="2"/>
          <w:szCs w:val="32"/>
          <w:highlight w:val="none"/>
          <w:lang w:eastAsia="zh-CN"/>
        </w:rPr>
        <w:t>响应措施：</w:t>
      </w:r>
      <w:r>
        <w:rPr>
          <w:rFonts w:hint="eastAsia" w:ascii="仿宋_GB2312" w:hAnsi="仿宋_GB2312" w:eastAsia="仿宋_GB2312" w:cs="仿宋_GB2312"/>
          <w:b w:val="0"/>
          <w:bCs w:val="0"/>
          <w:snapToGrid/>
          <w:color w:val="auto"/>
          <w:kern w:val="2"/>
          <w:szCs w:val="32"/>
          <w:highlight w:val="none"/>
        </w:rPr>
        <w:t>在</w:t>
      </w:r>
      <w:r>
        <w:rPr>
          <w:rFonts w:hint="eastAsia" w:ascii="仿宋_GB2312" w:hAnsi="仿宋_GB2312" w:eastAsia="仿宋_GB2312" w:cs="仿宋_GB2312"/>
          <w:b w:val="0"/>
          <w:bCs w:val="0"/>
          <w:snapToGrid/>
          <w:color w:val="auto"/>
          <w:kern w:val="2"/>
          <w:szCs w:val="32"/>
          <w:highlight w:val="none"/>
          <w:lang w:eastAsia="zh-CN"/>
        </w:rPr>
        <w:t>省、市</w:t>
      </w:r>
      <w:r>
        <w:rPr>
          <w:rFonts w:hint="eastAsia" w:ascii="仿宋_GB2312" w:hAnsi="仿宋_GB2312" w:eastAsia="仿宋_GB2312" w:cs="仿宋_GB2312"/>
          <w:b w:val="0"/>
          <w:bCs w:val="0"/>
          <w:snapToGrid/>
          <w:color w:val="auto"/>
          <w:kern w:val="2"/>
          <w:szCs w:val="32"/>
          <w:highlight w:val="none"/>
        </w:rPr>
        <w:t>森防指的组织指挥下，承担</w:t>
      </w:r>
      <w:r>
        <w:rPr>
          <w:rFonts w:hint="eastAsia" w:ascii="仿宋_GB2312" w:hAnsi="仿宋_GB2312" w:eastAsia="仿宋_GB2312" w:cs="仿宋_GB2312"/>
          <w:b w:val="0"/>
          <w:bCs w:val="0"/>
          <w:snapToGrid/>
          <w:color w:val="auto"/>
          <w:kern w:val="2"/>
          <w:szCs w:val="32"/>
          <w:highlight w:val="none"/>
          <w:lang w:eastAsia="zh-CN"/>
        </w:rPr>
        <w:t>本区</w:t>
      </w:r>
      <w:r>
        <w:rPr>
          <w:rFonts w:hint="eastAsia" w:ascii="仿宋_GB2312" w:hAnsi="仿宋_GB2312" w:eastAsia="仿宋_GB2312" w:cs="仿宋_GB2312"/>
          <w:b w:val="0"/>
          <w:bCs w:val="0"/>
          <w:snapToGrid/>
          <w:color w:val="auto"/>
          <w:kern w:val="2"/>
          <w:szCs w:val="32"/>
          <w:highlight w:val="none"/>
        </w:rPr>
        <w:t>森林火灾应急处置职责</w:t>
      </w:r>
      <w:r>
        <w:rPr>
          <w:rFonts w:hint="eastAsia" w:ascii="仿宋_GB2312" w:hAnsi="仿宋_GB2312" w:eastAsia="仿宋_GB2312" w:cs="仿宋_GB2312"/>
          <w:snapToGrid/>
          <w:color w:val="auto"/>
          <w:kern w:val="2"/>
          <w:szCs w:val="32"/>
          <w:highlight w:val="none"/>
        </w:rPr>
        <w:t>任务，重点做好转移人员安置、物资运送和发放、扑火人员食宿保障等工作。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outlineLvl w:val="2"/>
        <w:rPr>
          <w:rFonts w:hint="eastAsia" w:ascii="仿宋_GB2312" w:hAnsi="仿宋_GB2312" w:eastAsia="仿宋_GB2312" w:cs="仿宋_GB2312"/>
          <w:snapToGrid/>
          <w:color w:val="auto"/>
          <w:kern w:val="2"/>
          <w:highlight w:val="none"/>
        </w:rPr>
      </w:pPr>
      <w:bookmarkStart w:id="228" w:name="_Toc19242"/>
      <w:bookmarkStart w:id="229" w:name="_Toc21996"/>
      <w:bookmarkStart w:id="230" w:name="_Toc6227"/>
      <w:bookmarkStart w:id="231" w:name="_Toc6942"/>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6</w:t>
      </w:r>
      <w:r>
        <w:rPr>
          <w:rFonts w:hint="eastAsia" w:ascii="仿宋_GB2312" w:hAnsi="仿宋_GB2312" w:eastAsia="仿宋_GB2312" w:cs="仿宋_GB2312"/>
          <w:snapToGrid/>
          <w:color w:val="auto"/>
          <w:kern w:val="2"/>
          <w:highlight w:val="none"/>
        </w:rPr>
        <w:t>启动条件调整</w:t>
      </w:r>
      <w:bookmarkEnd w:id="228"/>
      <w:bookmarkEnd w:id="229"/>
      <w:bookmarkEnd w:id="230"/>
      <w:bookmarkEnd w:id="231"/>
    </w:p>
    <w:p>
      <w:pPr>
        <w:pStyle w:val="8"/>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Cs w:val="30"/>
          <w:highlight w:val="none"/>
        </w:rPr>
      </w:pPr>
      <w:r>
        <w:rPr>
          <w:rFonts w:hint="eastAsia" w:ascii="仿宋_GB2312" w:hAnsi="仿宋_GB2312" w:eastAsia="仿宋_GB2312" w:cs="仿宋_GB2312"/>
          <w:snapToGrid/>
          <w:color w:val="auto"/>
          <w:kern w:val="2"/>
          <w:szCs w:val="30"/>
          <w:highlight w:val="none"/>
        </w:rPr>
        <w:t>对发生在城区或敏感、危险区域，以及重大节日、重要活动期间的森林火灾，启动森林火灾应急响应的等级可酌情提级响应，负责处置的各级政府相关领导应及时赶赴现场组织处置。</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snapToGrid/>
          <w:color w:val="auto"/>
          <w:kern w:val="2"/>
          <w:highlight w:val="none"/>
          <w:lang w:eastAsia="zh-CN"/>
        </w:rPr>
      </w:pPr>
      <w:bookmarkStart w:id="232" w:name="_Toc262555300"/>
      <w:bookmarkStart w:id="233" w:name="_Toc262554732"/>
      <w:bookmarkStart w:id="234" w:name="_Toc262556065"/>
      <w:bookmarkStart w:id="235" w:name="_Toc27088"/>
      <w:bookmarkStart w:id="236" w:name="_Toc10154"/>
      <w:bookmarkStart w:id="237" w:name="_Toc8452"/>
      <w:bookmarkStart w:id="238" w:name="_Toc1947"/>
      <w:r>
        <w:rPr>
          <w:rFonts w:hint="eastAsia" w:ascii="Times New Roman" w:hAnsi="Times New Roman" w:eastAsia="黑体" w:cs="黑体"/>
          <w:b w:val="0"/>
          <w:snapToGrid/>
          <w:color w:val="auto"/>
          <w:kern w:val="2"/>
          <w:highlight w:val="none"/>
          <w:lang w:val="en-US" w:eastAsia="zh-CN"/>
        </w:rPr>
        <w:t>7</w:t>
      </w:r>
      <w:r>
        <w:rPr>
          <w:rFonts w:hint="eastAsia" w:ascii="黑体" w:hAnsi="黑体" w:eastAsia="黑体" w:cs="黑体"/>
          <w:b w:val="0"/>
          <w:snapToGrid/>
          <w:color w:val="auto"/>
          <w:kern w:val="2"/>
          <w:highlight w:val="none"/>
          <w:lang w:val="en-US" w:eastAsia="zh-CN"/>
        </w:rPr>
        <w:t>.</w:t>
      </w:r>
      <w:r>
        <w:rPr>
          <w:rFonts w:hint="eastAsia" w:ascii="黑体" w:hAnsi="黑体" w:eastAsia="黑体" w:cs="黑体"/>
          <w:b w:val="0"/>
          <w:snapToGrid/>
          <w:color w:val="auto"/>
          <w:kern w:val="2"/>
          <w:highlight w:val="none"/>
        </w:rPr>
        <w:t>应急</w:t>
      </w:r>
      <w:bookmarkEnd w:id="232"/>
      <w:bookmarkEnd w:id="233"/>
      <w:bookmarkEnd w:id="234"/>
      <w:r>
        <w:rPr>
          <w:rFonts w:hint="eastAsia" w:ascii="黑体" w:hAnsi="黑体" w:eastAsia="黑体" w:cs="黑体"/>
          <w:b w:val="0"/>
          <w:snapToGrid/>
          <w:color w:val="auto"/>
          <w:kern w:val="2"/>
          <w:highlight w:val="none"/>
          <w:lang w:eastAsia="zh-CN"/>
        </w:rPr>
        <w:t>响应终止</w:t>
      </w:r>
      <w:bookmarkEnd w:id="235"/>
      <w:bookmarkEnd w:id="236"/>
      <w:bookmarkEnd w:id="237"/>
      <w:bookmarkEnd w:id="238"/>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highlight w:val="none"/>
        </w:rPr>
      </w:pPr>
      <w:r>
        <w:rPr>
          <w:rFonts w:hint="eastAsia" w:ascii="仿宋_GB2312" w:hAnsi="仿宋_GB2312" w:eastAsia="仿宋_GB2312" w:cs="仿宋_GB2312"/>
          <w:snapToGrid/>
          <w:color w:val="auto"/>
          <w:kern w:val="2"/>
          <w:sz w:val="32"/>
          <w:szCs w:val="32"/>
          <w:highlight w:val="none"/>
        </w:rPr>
        <w:t>森林火灾得到有效控制后，按照“谁启动、谁负责”的原则，由现场指挥部报请解除应急响应，恢复正常森林防火工作秩序。</w:t>
      </w:r>
      <w:bookmarkStart w:id="239" w:name="_Toc262554733"/>
      <w:bookmarkStart w:id="240" w:name="_Toc262556066"/>
      <w:bookmarkStart w:id="241" w:name="_Toc262555301"/>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snapToGrid/>
          <w:color w:val="auto"/>
          <w:kern w:val="2"/>
          <w:highlight w:val="none"/>
        </w:rPr>
      </w:pPr>
      <w:bookmarkStart w:id="242" w:name="_Toc27053"/>
      <w:bookmarkStart w:id="243" w:name="_Toc16250"/>
      <w:bookmarkStart w:id="244" w:name="_Toc1295"/>
      <w:bookmarkStart w:id="245" w:name="_Toc28099"/>
      <w:r>
        <w:rPr>
          <w:rFonts w:hint="eastAsia" w:ascii="Times New Roman" w:hAnsi="Times New Roman" w:eastAsia="黑体" w:cs="黑体"/>
          <w:b w:val="0"/>
          <w:snapToGrid/>
          <w:color w:val="auto"/>
          <w:kern w:val="2"/>
          <w:highlight w:val="none"/>
          <w:lang w:val="en-US" w:eastAsia="zh-CN"/>
        </w:rPr>
        <w:t>8</w:t>
      </w:r>
      <w:r>
        <w:rPr>
          <w:rFonts w:hint="eastAsia" w:ascii="黑体" w:hAnsi="黑体" w:eastAsia="黑体" w:cs="黑体"/>
          <w:b w:val="0"/>
          <w:snapToGrid/>
          <w:color w:val="auto"/>
          <w:kern w:val="2"/>
          <w:highlight w:val="none"/>
          <w:lang w:val="en-US" w:eastAsia="zh-CN"/>
        </w:rPr>
        <w:t>.</w:t>
      </w:r>
      <w:r>
        <w:rPr>
          <w:rFonts w:hint="eastAsia" w:ascii="黑体" w:hAnsi="黑体" w:eastAsia="黑体" w:cs="黑体"/>
          <w:b w:val="0"/>
          <w:snapToGrid/>
          <w:color w:val="auto"/>
          <w:kern w:val="2"/>
          <w:highlight w:val="none"/>
        </w:rPr>
        <w:t>保障措施</w:t>
      </w:r>
      <w:bookmarkEnd w:id="242"/>
      <w:bookmarkEnd w:id="243"/>
      <w:bookmarkEnd w:id="244"/>
      <w:bookmarkEnd w:id="245"/>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246" w:name="_Toc24977"/>
      <w:bookmarkStart w:id="247" w:name="_Toc17865"/>
      <w:bookmarkStart w:id="248" w:name="_Toc29226"/>
      <w:bookmarkStart w:id="249" w:name="_Toc14614"/>
      <w:bookmarkStart w:id="250" w:name="_Toc262556072"/>
      <w:bookmarkStart w:id="251" w:name="_Toc262556076"/>
      <w:r>
        <w:rPr>
          <w:rFonts w:hint="eastAsia" w:ascii="Times New Roman" w:hAnsi="Times New Roman" w:eastAsia="楷体_GB2312" w:cs="楷体_GB2312"/>
          <w:snapToGrid/>
          <w:color w:val="auto"/>
          <w:kern w:val="2"/>
          <w:highlight w:val="none"/>
          <w:lang w:val="en-US" w:eastAsia="zh-CN"/>
        </w:rPr>
        <w:t>8</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1</w:t>
      </w:r>
      <w:r>
        <w:rPr>
          <w:rFonts w:hint="eastAsia" w:ascii="楷体_GB2312" w:hAnsi="楷体_GB2312" w:eastAsia="楷体_GB2312" w:cs="楷体_GB2312"/>
          <w:snapToGrid/>
          <w:color w:val="auto"/>
          <w:kern w:val="2"/>
          <w:highlight w:val="none"/>
        </w:rPr>
        <w:t>队伍保障</w:t>
      </w:r>
      <w:bookmarkEnd w:id="246"/>
      <w:bookmarkEnd w:id="247"/>
      <w:bookmarkEnd w:id="248"/>
      <w:bookmarkEnd w:id="249"/>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lang w:eastAsia="zh-CN"/>
        </w:rPr>
        <w:t>加强森林消防队伍建设，重点建设专业扑火力量，不断提高扑火队伍的战斗力。</w:t>
      </w:r>
      <w:r>
        <w:rPr>
          <w:rFonts w:hint="eastAsia" w:ascii="仿宋_GB2312" w:hAnsi="仿宋_GB2312" w:eastAsia="仿宋_GB2312" w:cs="仿宋_GB2312"/>
          <w:snapToGrid/>
          <w:color w:val="auto"/>
          <w:kern w:val="2"/>
          <w:sz w:val="32"/>
          <w:highlight w:val="none"/>
        </w:rPr>
        <w:t>重视后备扑火力量的准备，保证足够的扑火梯队。各扑火力量</w:t>
      </w:r>
      <w:r>
        <w:rPr>
          <w:rFonts w:hint="eastAsia" w:ascii="仿宋_GB2312" w:hAnsi="仿宋_GB2312" w:eastAsia="仿宋_GB2312" w:cs="仿宋_GB2312"/>
          <w:snapToGrid/>
          <w:color w:val="auto"/>
          <w:kern w:val="2"/>
          <w:sz w:val="32"/>
          <w:highlight w:val="none"/>
          <w:lang w:eastAsia="zh-CN"/>
        </w:rPr>
        <w:t>要</w:t>
      </w:r>
      <w:r>
        <w:rPr>
          <w:rFonts w:hint="eastAsia" w:ascii="仿宋_GB2312" w:hAnsi="仿宋_GB2312" w:eastAsia="仿宋_GB2312" w:cs="仿宋_GB2312"/>
          <w:snapToGrid/>
          <w:color w:val="auto"/>
          <w:kern w:val="2"/>
          <w:sz w:val="32"/>
          <w:highlight w:val="none"/>
        </w:rPr>
        <w:t>互相支援、积极配合、协同作战。</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252" w:name="_Toc11537"/>
      <w:bookmarkStart w:id="253" w:name="_Toc32683"/>
      <w:bookmarkStart w:id="254" w:name="_Toc18433"/>
      <w:bookmarkStart w:id="255" w:name="_Toc262556074"/>
      <w:bookmarkStart w:id="256" w:name="_Toc26937"/>
      <w:r>
        <w:rPr>
          <w:rFonts w:hint="eastAsia" w:ascii="Times New Roman" w:hAnsi="Times New Roman" w:eastAsia="楷体_GB2312" w:cs="楷体_GB2312"/>
          <w:snapToGrid/>
          <w:color w:val="auto"/>
          <w:kern w:val="2"/>
          <w:highlight w:val="none"/>
          <w:lang w:val="en-US" w:eastAsia="zh-CN"/>
        </w:rPr>
        <w:t>8</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2</w:t>
      </w:r>
      <w:r>
        <w:rPr>
          <w:rFonts w:hint="eastAsia" w:ascii="楷体_GB2312" w:hAnsi="楷体_GB2312" w:eastAsia="楷体_GB2312" w:cs="楷体_GB2312"/>
          <w:snapToGrid/>
          <w:color w:val="auto"/>
          <w:kern w:val="2"/>
          <w:highlight w:val="none"/>
        </w:rPr>
        <w:t>物资保障</w:t>
      </w:r>
      <w:bookmarkEnd w:id="252"/>
      <w:bookmarkEnd w:id="253"/>
      <w:bookmarkEnd w:id="254"/>
      <w:bookmarkEnd w:id="255"/>
      <w:bookmarkEnd w:id="256"/>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lang w:eastAsia="zh-CN"/>
        </w:rPr>
      </w:pPr>
      <w:r>
        <w:rPr>
          <w:rFonts w:hint="eastAsia" w:ascii="仿宋_GB2312" w:hAnsi="仿宋_GB2312" w:eastAsia="仿宋_GB2312" w:cs="仿宋_GB2312"/>
          <w:snapToGrid/>
          <w:color w:val="auto"/>
          <w:kern w:val="2"/>
          <w:sz w:val="32"/>
          <w:highlight w:val="none"/>
          <w:lang w:eastAsia="zh-CN"/>
        </w:rPr>
        <w:t>建立相应的森林防灭火物资储备库，</w:t>
      </w:r>
      <w:r>
        <w:rPr>
          <w:rFonts w:hint="eastAsia" w:ascii="仿宋_GB2312" w:hAnsi="仿宋_GB2312" w:eastAsia="仿宋_GB2312" w:cs="仿宋_GB2312"/>
          <w:snapToGrid/>
          <w:color w:val="auto"/>
          <w:kern w:val="2"/>
          <w:sz w:val="32"/>
          <w:highlight w:val="none"/>
        </w:rPr>
        <w:t>储备足够的扑火装备和物资，保障扑救森林火灾的急需物资供给</w:t>
      </w:r>
      <w:r>
        <w:rPr>
          <w:rFonts w:hint="eastAsia" w:ascii="仿宋_GB2312" w:hAnsi="仿宋_GB2312" w:eastAsia="仿宋_GB2312" w:cs="仿宋_GB2312"/>
          <w:snapToGrid/>
          <w:color w:val="auto"/>
          <w:kern w:val="2"/>
          <w:sz w:val="32"/>
          <w:highlight w:val="none"/>
          <w:lang w:eastAsia="zh-CN"/>
        </w:rPr>
        <w:t>，保证战时应急调用。</w:t>
      </w:r>
    </w:p>
    <w:p>
      <w:pPr>
        <w:pStyle w:val="30"/>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楷体_GB2312" w:hAnsi="楷体_GB2312" w:eastAsia="楷体_GB2312" w:cs="楷体_GB2312"/>
          <w:snapToGrid/>
          <w:color w:val="auto"/>
          <w:kern w:val="2"/>
          <w:highlight w:val="none"/>
        </w:rPr>
      </w:pPr>
      <w:bookmarkStart w:id="257" w:name="_Toc262556075"/>
      <w:bookmarkStart w:id="258" w:name="_Toc5503"/>
      <w:bookmarkStart w:id="259" w:name="_Toc736"/>
      <w:bookmarkStart w:id="260" w:name="_Toc10198"/>
      <w:bookmarkStart w:id="261" w:name="_Toc8695"/>
      <w:r>
        <w:rPr>
          <w:rFonts w:hint="eastAsia" w:ascii="Times New Roman" w:hAnsi="Times New Roman" w:eastAsia="楷体_GB2312" w:cs="楷体_GB2312"/>
          <w:snapToGrid/>
          <w:color w:val="auto"/>
          <w:kern w:val="2"/>
          <w:highlight w:val="none"/>
          <w:lang w:val="en-US" w:eastAsia="zh-CN"/>
        </w:rPr>
        <w:t>8</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3</w:t>
      </w:r>
      <w:r>
        <w:rPr>
          <w:rFonts w:hint="eastAsia" w:ascii="楷体_GB2312" w:hAnsi="楷体_GB2312" w:eastAsia="楷体_GB2312" w:cs="楷体_GB2312"/>
          <w:snapToGrid/>
          <w:color w:val="auto"/>
          <w:kern w:val="2"/>
          <w:highlight w:val="none"/>
        </w:rPr>
        <w:t>经费保障</w:t>
      </w:r>
      <w:bookmarkEnd w:id="257"/>
      <w:bookmarkEnd w:id="258"/>
      <w:bookmarkEnd w:id="259"/>
      <w:bookmarkEnd w:id="260"/>
      <w:bookmarkEnd w:id="261"/>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bookmarkStart w:id="262" w:name="_Toc16597"/>
      <w:r>
        <w:rPr>
          <w:rFonts w:hint="eastAsia" w:ascii="仿宋_GB2312" w:hAnsi="仿宋_GB2312" w:eastAsia="仿宋_GB2312" w:cs="仿宋_GB2312"/>
          <w:snapToGrid/>
          <w:color w:val="auto"/>
          <w:kern w:val="2"/>
          <w:sz w:val="32"/>
          <w:highlight w:val="none"/>
        </w:rPr>
        <w:t>森林防灭火工作纳入</w:t>
      </w:r>
      <w:r>
        <w:rPr>
          <w:rFonts w:hint="eastAsia" w:ascii="仿宋_GB2312" w:hAnsi="仿宋_GB2312" w:eastAsia="仿宋_GB2312" w:cs="仿宋_GB2312"/>
          <w:snapToGrid/>
          <w:color w:val="auto"/>
          <w:kern w:val="2"/>
          <w:sz w:val="32"/>
          <w:highlight w:val="none"/>
          <w:lang w:eastAsia="zh-CN"/>
        </w:rPr>
        <w:t>本区</w:t>
      </w:r>
      <w:r>
        <w:rPr>
          <w:rFonts w:hint="eastAsia" w:ascii="仿宋_GB2312" w:hAnsi="仿宋_GB2312" w:eastAsia="仿宋_GB2312" w:cs="仿宋_GB2312"/>
          <w:snapToGrid/>
          <w:color w:val="auto"/>
          <w:kern w:val="2"/>
          <w:sz w:val="32"/>
          <w:highlight w:val="none"/>
        </w:rPr>
        <w:t>国民经济和社会发展规划，做好年度财政预算，保障森林防灭火工作所需经费。</w:t>
      </w:r>
      <w:bookmarkEnd w:id="262"/>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263" w:name="_Toc16798"/>
      <w:bookmarkStart w:id="264" w:name="_Toc21017"/>
      <w:bookmarkStart w:id="265" w:name="_Toc1631"/>
      <w:bookmarkStart w:id="266" w:name="_Toc11412"/>
      <w:r>
        <w:rPr>
          <w:rFonts w:hint="eastAsia" w:ascii="Times New Roman" w:hAnsi="Times New Roman" w:eastAsia="楷体_GB2312" w:cs="楷体_GB2312"/>
          <w:snapToGrid/>
          <w:color w:val="auto"/>
          <w:kern w:val="2"/>
          <w:highlight w:val="none"/>
          <w:lang w:val="en-US" w:eastAsia="zh-CN"/>
        </w:rPr>
        <w:t>8</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4</w:t>
      </w:r>
      <w:r>
        <w:rPr>
          <w:rFonts w:hint="eastAsia" w:ascii="楷体_GB2312" w:hAnsi="楷体_GB2312" w:eastAsia="楷体_GB2312" w:cs="楷体_GB2312"/>
          <w:snapToGrid/>
          <w:color w:val="auto"/>
          <w:kern w:val="2"/>
          <w:highlight w:val="none"/>
        </w:rPr>
        <w:t>通信保障</w:t>
      </w:r>
      <w:bookmarkEnd w:id="250"/>
      <w:bookmarkEnd w:id="263"/>
      <w:bookmarkEnd w:id="264"/>
      <w:bookmarkEnd w:id="265"/>
      <w:bookmarkEnd w:id="266"/>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健全森林火灾应急通信保障机制，</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应急管理局负责</w:t>
      </w:r>
      <w:r>
        <w:rPr>
          <w:rFonts w:hint="eastAsia" w:ascii="仿宋_GB2312" w:hAnsi="仿宋_GB2312" w:eastAsia="仿宋_GB2312" w:cs="仿宋_GB2312"/>
          <w:snapToGrid/>
          <w:color w:val="auto"/>
          <w:kern w:val="2"/>
          <w:sz w:val="32"/>
          <w:highlight w:val="none"/>
          <w:lang w:eastAsia="zh-CN"/>
        </w:rPr>
        <w:t>协调</w:t>
      </w:r>
      <w:r>
        <w:rPr>
          <w:rFonts w:hint="eastAsia" w:ascii="仿宋_GB2312" w:hAnsi="仿宋_GB2312" w:eastAsia="仿宋_GB2312" w:cs="仿宋_GB2312"/>
          <w:snapToGrid/>
          <w:color w:val="auto"/>
          <w:kern w:val="2"/>
          <w:sz w:val="32"/>
          <w:highlight w:val="none"/>
        </w:rPr>
        <w:t>完善现场无线电通信和视频指挥调度保障；必要时，电信运营企业在火灾现场开通应急通信设备，做好公众通信</w:t>
      </w:r>
      <w:r>
        <w:rPr>
          <w:rFonts w:hint="eastAsia" w:ascii="仿宋_GB2312" w:hAnsi="仿宋_GB2312" w:eastAsia="仿宋_GB2312" w:cs="仿宋_GB2312"/>
          <w:snapToGrid/>
          <w:color w:val="auto"/>
          <w:kern w:val="2"/>
          <w:sz w:val="32"/>
          <w:highlight w:val="none"/>
          <w:lang w:eastAsia="zh-CN"/>
        </w:rPr>
        <w:t>网络</w:t>
      </w:r>
      <w:r>
        <w:rPr>
          <w:rFonts w:hint="eastAsia" w:ascii="仿宋_GB2312" w:hAnsi="仿宋_GB2312" w:eastAsia="仿宋_GB2312" w:cs="仿宋_GB2312"/>
          <w:snapToGrid/>
          <w:color w:val="auto"/>
          <w:kern w:val="2"/>
          <w:sz w:val="32"/>
          <w:highlight w:val="none"/>
        </w:rPr>
        <w:t>的应急保障工作。</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267" w:name="_Toc24203"/>
      <w:bookmarkStart w:id="268" w:name="_Toc31320"/>
      <w:bookmarkStart w:id="269" w:name="_Toc22103"/>
      <w:bookmarkStart w:id="270" w:name="_Toc27274"/>
      <w:r>
        <w:rPr>
          <w:rFonts w:hint="eastAsia" w:ascii="Times New Roman" w:hAnsi="Times New Roman" w:eastAsia="楷体_GB2312" w:cs="楷体_GB2312"/>
          <w:snapToGrid/>
          <w:color w:val="auto"/>
          <w:kern w:val="2"/>
          <w:highlight w:val="none"/>
          <w:lang w:val="en-US" w:eastAsia="zh-CN"/>
        </w:rPr>
        <w:t>8</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5</w:t>
      </w:r>
      <w:r>
        <w:rPr>
          <w:rFonts w:hint="eastAsia" w:ascii="楷体_GB2312" w:hAnsi="楷体_GB2312" w:eastAsia="楷体_GB2312" w:cs="楷体_GB2312"/>
          <w:snapToGrid/>
          <w:color w:val="auto"/>
          <w:kern w:val="2"/>
          <w:highlight w:val="none"/>
        </w:rPr>
        <w:t>技术保障</w:t>
      </w:r>
      <w:bookmarkEnd w:id="251"/>
      <w:bookmarkEnd w:id="267"/>
      <w:bookmarkEnd w:id="268"/>
      <w:bookmarkEnd w:id="269"/>
      <w:bookmarkEnd w:id="270"/>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气象部门负责提供火场气象服务，应急管理部门组织森林防灭火专家组专家、林火监测及其他相关技术人员为扑火工作提供灭火技术咨询和现场指导。</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snapToGrid/>
          <w:color w:val="auto"/>
          <w:kern w:val="2"/>
          <w:highlight w:val="none"/>
        </w:rPr>
      </w:pPr>
      <w:bookmarkStart w:id="271" w:name="_Toc26904"/>
      <w:bookmarkStart w:id="272" w:name="_Toc6593"/>
      <w:bookmarkStart w:id="273" w:name="_Toc16458"/>
      <w:bookmarkStart w:id="274" w:name="_Toc24480"/>
      <w:r>
        <w:rPr>
          <w:rFonts w:hint="eastAsia" w:ascii="Times New Roman" w:hAnsi="Times New Roman" w:eastAsia="黑体" w:cs="黑体"/>
          <w:b w:val="0"/>
          <w:snapToGrid/>
          <w:color w:val="auto"/>
          <w:kern w:val="2"/>
          <w:highlight w:val="none"/>
          <w:lang w:val="en-US" w:eastAsia="zh-CN"/>
        </w:rPr>
        <w:t>9</w:t>
      </w:r>
      <w:r>
        <w:rPr>
          <w:rFonts w:hint="eastAsia" w:ascii="黑体" w:hAnsi="黑体" w:eastAsia="黑体" w:cs="黑体"/>
          <w:b w:val="0"/>
          <w:snapToGrid/>
          <w:color w:val="auto"/>
          <w:kern w:val="2"/>
          <w:highlight w:val="none"/>
          <w:lang w:val="en-US" w:eastAsia="zh-CN"/>
        </w:rPr>
        <w:t>.</w:t>
      </w:r>
      <w:r>
        <w:rPr>
          <w:rFonts w:hint="eastAsia" w:ascii="黑体" w:hAnsi="黑体" w:eastAsia="黑体" w:cs="黑体"/>
          <w:b w:val="0"/>
          <w:snapToGrid/>
          <w:color w:val="auto"/>
          <w:kern w:val="2"/>
          <w:highlight w:val="none"/>
        </w:rPr>
        <w:t>后期处置</w:t>
      </w:r>
      <w:bookmarkEnd w:id="239"/>
      <w:bookmarkEnd w:id="240"/>
      <w:bookmarkEnd w:id="241"/>
      <w:bookmarkEnd w:id="271"/>
      <w:bookmarkEnd w:id="272"/>
      <w:bookmarkEnd w:id="273"/>
      <w:bookmarkEnd w:id="274"/>
    </w:p>
    <w:p>
      <w:pPr>
        <w:pStyle w:val="30"/>
        <w:keepNext w:val="0"/>
        <w:keepLines w:val="0"/>
        <w:pageBreakBefore w:val="0"/>
        <w:widowControl w:val="0"/>
        <w:kinsoku/>
        <w:wordWrap/>
        <w:overflowPunct/>
        <w:topLinePunct w:val="0"/>
        <w:autoSpaceDE/>
        <w:autoSpaceDN/>
        <w:bidi w:val="0"/>
        <w:spacing w:line="570" w:lineRule="exact"/>
        <w:ind w:left="0" w:leftChars="0" w:firstLine="632" w:firstLineChars="200"/>
        <w:textAlignment w:val="auto"/>
        <w:rPr>
          <w:rFonts w:hint="eastAsia" w:ascii="楷体_GB2312" w:hAnsi="楷体_GB2312" w:eastAsia="楷体_GB2312" w:cs="楷体_GB2312"/>
          <w:snapToGrid/>
          <w:color w:val="auto"/>
          <w:kern w:val="2"/>
          <w:highlight w:val="none"/>
        </w:rPr>
      </w:pPr>
      <w:bookmarkStart w:id="275" w:name="_Toc29587"/>
      <w:bookmarkStart w:id="276" w:name="_Toc8577"/>
      <w:bookmarkStart w:id="277" w:name="_Toc17900"/>
      <w:bookmarkStart w:id="278" w:name="_Toc6625"/>
      <w:bookmarkStart w:id="279" w:name="_Toc262556069"/>
      <w:r>
        <w:rPr>
          <w:rFonts w:hint="eastAsia" w:ascii="Times New Roman" w:hAnsi="Times New Roman" w:eastAsia="楷体_GB2312" w:cs="楷体_GB2312"/>
          <w:snapToGrid/>
          <w:color w:val="auto"/>
          <w:kern w:val="2"/>
          <w:highlight w:val="none"/>
          <w:lang w:val="en-US" w:eastAsia="zh-CN"/>
        </w:rPr>
        <w:t>9</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1</w:t>
      </w:r>
      <w:r>
        <w:rPr>
          <w:rFonts w:hint="eastAsia" w:ascii="楷体_GB2312" w:hAnsi="楷体_GB2312" w:eastAsia="楷体_GB2312" w:cs="楷体_GB2312"/>
          <w:snapToGrid/>
          <w:color w:val="auto"/>
          <w:kern w:val="2"/>
          <w:highlight w:val="none"/>
        </w:rPr>
        <w:t>火灾调查</w:t>
      </w:r>
      <w:bookmarkEnd w:id="275"/>
      <w:bookmarkEnd w:id="276"/>
      <w:bookmarkEnd w:id="277"/>
      <w:bookmarkEnd w:id="278"/>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lang w:eastAsia="zh-CN"/>
        </w:rPr>
      </w:pPr>
      <w:r>
        <w:rPr>
          <w:rFonts w:hint="eastAsia" w:ascii="仿宋_GB2312" w:hAnsi="仿宋_GB2312" w:eastAsia="仿宋_GB2312" w:cs="仿宋_GB2312"/>
          <w:snapToGrid/>
          <w:color w:val="auto"/>
          <w:kern w:val="2"/>
          <w:sz w:val="32"/>
          <w:highlight w:val="none"/>
        </w:rPr>
        <w:t>根据《广东省森林火灾调查工作规范》相关规定，</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森防指办公室组织应急、公安、卫健、林业和气象等职能部门，必要时可聘请专家或委托有资质的机构，联合做好火灾调查评估，形成包括火灾概况、起火原因、发生经过、</w:t>
      </w:r>
      <w:r>
        <w:rPr>
          <w:rFonts w:hint="eastAsia" w:ascii="仿宋_GB2312" w:hAnsi="仿宋_GB2312" w:eastAsia="仿宋_GB2312" w:cs="仿宋_GB2312"/>
          <w:snapToGrid/>
          <w:color w:val="auto"/>
          <w:kern w:val="2"/>
          <w:sz w:val="32"/>
          <w:highlight w:val="none"/>
          <w:lang w:eastAsia="zh-CN"/>
        </w:rPr>
        <w:t>扑火救灾、</w:t>
      </w:r>
      <w:r>
        <w:rPr>
          <w:rFonts w:hint="eastAsia" w:ascii="仿宋_GB2312" w:hAnsi="仿宋_GB2312" w:eastAsia="仿宋_GB2312" w:cs="仿宋_GB2312"/>
          <w:snapToGrid/>
          <w:color w:val="auto"/>
          <w:kern w:val="2"/>
          <w:sz w:val="32"/>
          <w:highlight w:val="none"/>
        </w:rPr>
        <w:t>人员伤亡和损失</w:t>
      </w:r>
      <w:r>
        <w:rPr>
          <w:rFonts w:hint="eastAsia" w:ascii="仿宋_GB2312" w:hAnsi="仿宋_GB2312" w:eastAsia="仿宋_GB2312" w:cs="仿宋_GB2312"/>
          <w:snapToGrid/>
          <w:color w:val="auto"/>
          <w:kern w:val="2"/>
          <w:sz w:val="32"/>
          <w:highlight w:val="none"/>
          <w:lang w:eastAsia="zh-CN"/>
        </w:rPr>
        <w:t>评估</w:t>
      </w:r>
      <w:r>
        <w:rPr>
          <w:rFonts w:hint="eastAsia" w:ascii="仿宋_GB2312" w:hAnsi="仿宋_GB2312" w:eastAsia="仿宋_GB2312" w:cs="仿宋_GB2312"/>
          <w:snapToGrid/>
          <w:color w:val="auto"/>
          <w:kern w:val="2"/>
          <w:sz w:val="32"/>
          <w:highlight w:val="none"/>
        </w:rPr>
        <w:t>、存在主要问题、责任认定及处理建议等内容的火灾调查报告。</w:t>
      </w:r>
    </w:p>
    <w:bookmarkEnd w:id="279"/>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280" w:name="_Toc19823"/>
      <w:bookmarkStart w:id="281" w:name="_Toc20940"/>
      <w:bookmarkStart w:id="282" w:name="_Toc5"/>
      <w:bookmarkStart w:id="283" w:name="_Toc15356"/>
      <w:r>
        <w:rPr>
          <w:rFonts w:hint="eastAsia" w:ascii="Times New Roman" w:hAnsi="Times New Roman" w:eastAsia="楷体_GB2312" w:cs="楷体_GB2312"/>
          <w:snapToGrid/>
          <w:color w:val="auto"/>
          <w:kern w:val="2"/>
          <w:highlight w:val="none"/>
          <w:lang w:val="en-US" w:eastAsia="zh-CN"/>
        </w:rPr>
        <w:t>9</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2</w:t>
      </w:r>
      <w:r>
        <w:rPr>
          <w:rFonts w:hint="eastAsia" w:ascii="楷体_GB2312" w:hAnsi="楷体_GB2312" w:eastAsia="楷体_GB2312" w:cs="楷体_GB2312"/>
          <w:snapToGrid/>
          <w:color w:val="auto"/>
          <w:kern w:val="2"/>
          <w:highlight w:val="none"/>
        </w:rPr>
        <w:t>案件查处</w:t>
      </w:r>
      <w:bookmarkEnd w:id="280"/>
      <w:bookmarkEnd w:id="281"/>
      <w:bookmarkEnd w:id="282"/>
      <w:bookmarkEnd w:id="283"/>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9"/>
        <w:rPr>
          <w:rFonts w:hint="eastAsia" w:ascii="仿宋_GB2312" w:hAnsi="仿宋_GB2312" w:eastAsia="仿宋_GB2312" w:cs="仿宋_GB2312"/>
          <w:snapToGrid/>
          <w:color w:val="auto"/>
          <w:kern w:val="2"/>
          <w:sz w:val="32"/>
          <w:highlight w:val="none"/>
        </w:rPr>
      </w:pPr>
      <w:bookmarkStart w:id="284" w:name="_Toc31593"/>
      <w:bookmarkStart w:id="285" w:name="_Toc8619"/>
      <w:bookmarkStart w:id="286" w:name="_Toc24812"/>
      <w:bookmarkStart w:id="287" w:name="_Toc15488"/>
      <w:bookmarkStart w:id="288" w:name="_Toc30630"/>
      <w:bookmarkStart w:id="289" w:name="_Toc19927"/>
      <w:bookmarkStart w:id="290" w:name="_Toc28783"/>
      <w:bookmarkStart w:id="291" w:name="_Toc27738"/>
      <w:r>
        <w:rPr>
          <w:rFonts w:hint="eastAsia" w:ascii="仿宋_GB2312" w:hAnsi="仿宋_GB2312" w:eastAsia="仿宋_GB2312" w:cs="仿宋_GB2312"/>
          <w:snapToGrid/>
          <w:color w:val="auto"/>
          <w:kern w:val="2"/>
          <w:sz w:val="32"/>
          <w:highlight w:val="none"/>
          <w:lang w:eastAsia="zh-CN"/>
        </w:rPr>
        <w:t>市公安局增城分局</w:t>
      </w:r>
      <w:r>
        <w:rPr>
          <w:rFonts w:hint="eastAsia" w:ascii="仿宋_GB2312" w:hAnsi="仿宋_GB2312" w:eastAsia="仿宋_GB2312" w:cs="仿宋_GB2312"/>
          <w:snapToGrid/>
          <w:color w:val="auto"/>
          <w:kern w:val="2"/>
          <w:sz w:val="32"/>
          <w:highlight w:val="none"/>
        </w:rPr>
        <w:t>组织、指导森林火灾案件的查处工作。未达到刑事立案条件的森林火灾，由林业部门联合公安机关负责查处。在不影响案件查处的情况下，应及时向</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森防指办公室反馈案件查处的进展情况和侦破结果。</w:t>
      </w:r>
      <w:bookmarkEnd w:id="284"/>
      <w:bookmarkEnd w:id="285"/>
      <w:bookmarkEnd w:id="286"/>
      <w:bookmarkEnd w:id="287"/>
      <w:bookmarkEnd w:id="288"/>
      <w:bookmarkEnd w:id="289"/>
      <w:bookmarkEnd w:id="290"/>
      <w:bookmarkEnd w:id="291"/>
      <w:bookmarkStart w:id="292" w:name="_Toc262556067"/>
    </w:p>
    <w:bookmarkEnd w:id="292"/>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293" w:name="_Toc20990"/>
      <w:bookmarkStart w:id="294" w:name="_Toc15109"/>
      <w:bookmarkStart w:id="295" w:name="_Toc10811"/>
      <w:bookmarkStart w:id="296" w:name="_Toc22720"/>
      <w:r>
        <w:rPr>
          <w:rFonts w:hint="eastAsia" w:ascii="Times New Roman" w:hAnsi="Times New Roman" w:eastAsia="楷体_GB2312" w:cs="楷体_GB2312"/>
          <w:snapToGrid/>
          <w:color w:val="auto"/>
          <w:kern w:val="2"/>
          <w:highlight w:val="none"/>
        </w:rPr>
        <w:t>9</w:t>
      </w:r>
      <w:r>
        <w:rPr>
          <w:rFonts w:hint="eastAsia" w:ascii="楷体_GB2312" w:hAnsi="楷体_GB2312" w:eastAsia="楷体_GB2312" w:cs="楷体_GB2312"/>
          <w:snapToGrid/>
          <w:color w:val="auto"/>
          <w:kern w:val="2"/>
          <w:highlight w:val="none"/>
        </w:rPr>
        <w:t>.</w:t>
      </w:r>
      <w:r>
        <w:rPr>
          <w:rFonts w:hint="eastAsia" w:ascii="Times New Roman" w:hAnsi="Times New Roman" w:eastAsia="楷体_GB2312" w:cs="楷体_GB2312"/>
          <w:snapToGrid/>
          <w:color w:val="auto"/>
          <w:kern w:val="2"/>
          <w:highlight w:val="none"/>
        </w:rPr>
        <w:t>3</w:t>
      </w:r>
      <w:r>
        <w:rPr>
          <w:rFonts w:hint="eastAsia" w:ascii="楷体_GB2312" w:hAnsi="楷体_GB2312" w:eastAsia="楷体_GB2312" w:cs="楷体_GB2312"/>
          <w:snapToGrid/>
          <w:color w:val="auto"/>
          <w:kern w:val="2"/>
          <w:highlight w:val="none"/>
        </w:rPr>
        <w:t>事故善后</w:t>
      </w:r>
      <w:bookmarkEnd w:id="293"/>
      <w:bookmarkEnd w:id="294"/>
      <w:bookmarkEnd w:id="295"/>
      <w:bookmarkEnd w:id="296"/>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因扑火救灾负伤、致残的人员，由当地政府或有关部门按照国家有关规定给予医疗救治，办理伤残评定，落实生活补贴；因扑火救灾牺牲人员，由区政府负责做好遇难人员的善后工作，抚慰遇难者家属，按照规定发放抚恤金，对符合评定烈士条件的，按有关规定办理。</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highlight w:val="none"/>
        </w:rPr>
      </w:pPr>
      <w:bookmarkStart w:id="297" w:name="_Toc31601"/>
      <w:bookmarkStart w:id="298" w:name="_Toc10271"/>
      <w:bookmarkStart w:id="299" w:name="_Toc21025"/>
      <w:bookmarkStart w:id="300" w:name="_Toc12628"/>
      <w:bookmarkStart w:id="301" w:name="_Toc262556068"/>
      <w:bookmarkStart w:id="302" w:name="_Toc262555302"/>
      <w:bookmarkStart w:id="303" w:name="_Toc262556071"/>
      <w:bookmarkStart w:id="304" w:name="_Toc262554734"/>
      <w:r>
        <w:rPr>
          <w:rFonts w:hint="eastAsia" w:ascii="Times New Roman" w:hAnsi="Times New Roman" w:eastAsia="楷体_GB2312" w:cs="楷体_GB2312"/>
          <w:snapToGrid/>
          <w:color w:val="auto"/>
          <w:kern w:val="2"/>
          <w:highlight w:val="none"/>
          <w:lang w:val="en-US" w:eastAsia="zh-CN"/>
        </w:rPr>
        <w:t>9</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4</w:t>
      </w:r>
      <w:r>
        <w:rPr>
          <w:rFonts w:hint="eastAsia" w:ascii="楷体_GB2312" w:hAnsi="楷体_GB2312" w:eastAsia="楷体_GB2312" w:cs="楷体_GB2312"/>
          <w:snapToGrid/>
          <w:color w:val="auto"/>
          <w:kern w:val="2"/>
          <w:highlight w:val="none"/>
        </w:rPr>
        <w:t>工作总结</w:t>
      </w:r>
      <w:bookmarkEnd w:id="297"/>
      <w:bookmarkEnd w:id="298"/>
      <w:bookmarkEnd w:id="299"/>
      <w:bookmarkEnd w:id="300"/>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highlight w:val="none"/>
        </w:rPr>
      </w:pPr>
      <w:r>
        <w:rPr>
          <w:rFonts w:hint="eastAsia" w:ascii="仿宋_GB2312" w:hAnsi="仿宋_GB2312" w:eastAsia="仿宋_GB2312" w:cs="仿宋_GB2312"/>
          <w:snapToGrid/>
          <w:color w:val="auto"/>
          <w:kern w:val="2"/>
          <w:sz w:val="32"/>
          <w:highlight w:val="none"/>
        </w:rPr>
        <w:t>扑火工作结束后，及时进行总结，认真查找应急响应启动过程中存在的问题，研究制定改进措施，并报</w:t>
      </w: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森防指办公室。</w:t>
      </w:r>
    </w:p>
    <w:bookmarkEnd w:id="301"/>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305" w:name="_Toc6235"/>
      <w:bookmarkStart w:id="306" w:name="_Toc5882"/>
      <w:bookmarkStart w:id="307" w:name="_Toc23586"/>
      <w:bookmarkStart w:id="308" w:name="_Toc15296"/>
      <w:r>
        <w:rPr>
          <w:rFonts w:hint="eastAsia" w:ascii="Times New Roman" w:hAnsi="Times New Roman" w:eastAsia="楷体_GB2312" w:cs="楷体_GB2312"/>
          <w:snapToGrid/>
          <w:color w:val="auto"/>
          <w:kern w:val="2"/>
          <w:highlight w:val="none"/>
          <w:lang w:val="en-US" w:eastAsia="zh-CN"/>
        </w:rPr>
        <w:t>9</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5</w:t>
      </w:r>
      <w:r>
        <w:rPr>
          <w:rFonts w:hint="eastAsia" w:ascii="楷体_GB2312" w:hAnsi="楷体_GB2312" w:eastAsia="楷体_GB2312" w:cs="楷体_GB2312"/>
          <w:snapToGrid/>
          <w:color w:val="auto"/>
          <w:kern w:val="2"/>
          <w:highlight w:val="none"/>
        </w:rPr>
        <w:t>灾后恢复</w:t>
      </w:r>
      <w:bookmarkEnd w:id="305"/>
      <w:bookmarkEnd w:id="306"/>
      <w:bookmarkEnd w:id="307"/>
      <w:bookmarkEnd w:id="308"/>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应急管理部门根据应急物资征用有关规定，办理归还或补偿手续；林业职能部门要做好火烧迹地的</w:t>
      </w:r>
      <w:r>
        <w:rPr>
          <w:rFonts w:hint="eastAsia" w:ascii="仿宋_GB2312" w:hAnsi="仿宋_GB2312" w:eastAsia="仿宋_GB2312" w:cs="仿宋_GB2312"/>
          <w:snapToGrid/>
          <w:color w:val="auto"/>
          <w:kern w:val="2"/>
          <w:sz w:val="32"/>
          <w:highlight w:val="none"/>
          <w:lang w:eastAsia="zh-CN"/>
        </w:rPr>
        <w:t>更新复绿</w:t>
      </w:r>
      <w:r>
        <w:rPr>
          <w:rFonts w:hint="eastAsia" w:ascii="仿宋_GB2312" w:hAnsi="仿宋_GB2312" w:eastAsia="仿宋_GB2312" w:cs="仿宋_GB2312"/>
          <w:snapToGrid/>
          <w:color w:val="auto"/>
          <w:kern w:val="2"/>
          <w:sz w:val="32"/>
          <w:highlight w:val="none"/>
        </w:rPr>
        <w:t>；</w:t>
      </w:r>
      <w:r>
        <w:rPr>
          <w:rFonts w:hint="eastAsia" w:ascii="仿宋_GB2312" w:hAnsi="仿宋_GB2312" w:eastAsia="仿宋_GB2312" w:cs="仿宋_GB2312"/>
          <w:snapToGrid/>
          <w:color w:val="auto"/>
          <w:kern w:val="2"/>
          <w:sz w:val="32"/>
          <w:highlight w:val="none"/>
          <w:lang w:eastAsia="zh-CN"/>
        </w:rPr>
        <w:t>属地镇街或相关部门</w:t>
      </w:r>
      <w:r>
        <w:rPr>
          <w:rFonts w:hint="eastAsia" w:ascii="仿宋_GB2312" w:hAnsi="仿宋_GB2312" w:eastAsia="仿宋_GB2312" w:cs="仿宋_GB2312"/>
          <w:snapToGrid/>
          <w:color w:val="auto"/>
          <w:kern w:val="2"/>
          <w:sz w:val="32"/>
          <w:highlight w:val="none"/>
        </w:rPr>
        <w:t>及时组织修复被森林火灾破坏的设施，恢复正常的生产、生活秩序。</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309" w:name="_Toc27524"/>
      <w:bookmarkStart w:id="310" w:name="_Toc15088"/>
      <w:bookmarkStart w:id="311" w:name="_Toc1553"/>
      <w:bookmarkStart w:id="312" w:name="_Toc24143"/>
      <w:r>
        <w:rPr>
          <w:rFonts w:hint="eastAsia" w:ascii="Times New Roman" w:hAnsi="Times New Roman" w:eastAsia="楷体_GB2312" w:cs="楷体_GB2312"/>
          <w:snapToGrid/>
          <w:color w:val="auto"/>
          <w:kern w:val="2"/>
          <w:highlight w:val="none"/>
          <w:lang w:val="en-US" w:eastAsia="zh-CN"/>
        </w:rPr>
        <w:t>9</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6</w:t>
      </w:r>
      <w:r>
        <w:rPr>
          <w:rFonts w:hint="eastAsia" w:ascii="楷体_GB2312" w:hAnsi="楷体_GB2312" w:eastAsia="楷体_GB2312" w:cs="楷体_GB2312"/>
          <w:snapToGrid/>
          <w:color w:val="auto"/>
          <w:kern w:val="2"/>
          <w:highlight w:val="none"/>
        </w:rPr>
        <w:t>奖惩追责</w:t>
      </w:r>
      <w:bookmarkEnd w:id="309"/>
      <w:bookmarkEnd w:id="310"/>
      <w:bookmarkEnd w:id="311"/>
      <w:bookmarkEnd w:id="312"/>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highlight w:val="none"/>
        </w:rPr>
        <w:t>根据有关法律法规，对在扑火工作中贡献突出的单位、个人给予表彰和奖励。对在森林火灾事故中负有责任的单位、责任人进行约谈和责任追究，</w:t>
      </w:r>
      <w:r>
        <w:rPr>
          <w:rFonts w:hint="eastAsia" w:ascii="仿宋_GB2312" w:hAnsi="仿宋_GB2312" w:eastAsia="仿宋_GB2312" w:cs="仿宋_GB2312"/>
          <w:snapToGrid/>
          <w:color w:val="auto"/>
          <w:kern w:val="2"/>
          <w:sz w:val="32"/>
          <w:szCs w:val="32"/>
          <w:highlight w:val="none"/>
        </w:rPr>
        <w:t>对涉嫌犯罪的，移交司法机关处理。</w:t>
      </w:r>
    </w:p>
    <w:bookmarkEnd w:id="302"/>
    <w:bookmarkEnd w:id="303"/>
    <w:bookmarkEnd w:id="304"/>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黑体" w:hAnsi="黑体" w:eastAsia="黑体" w:cs="黑体"/>
          <w:b w:val="0"/>
          <w:snapToGrid/>
          <w:color w:val="auto"/>
          <w:kern w:val="2"/>
          <w:highlight w:val="none"/>
        </w:rPr>
      </w:pPr>
      <w:bookmarkStart w:id="313" w:name="_Toc9267"/>
      <w:bookmarkStart w:id="314" w:name="_Toc3682"/>
      <w:bookmarkStart w:id="315" w:name="_Toc20126"/>
      <w:bookmarkStart w:id="316" w:name="_Toc22070"/>
      <w:r>
        <w:rPr>
          <w:rFonts w:hint="eastAsia" w:ascii="Times New Roman" w:hAnsi="Times New Roman" w:eastAsia="黑体" w:cs="黑体"/>
          <w:b w:val="0"/>
          <w:snapToGrid/>
          <w:color w:val="auto"/>
          <w:kern w:val="2"/>
          <w:highlight w:val="none"/>
          <w:lang w:val="en-US" w:eastAsia="zh-CN"/>
        </w:rPr>
        <w:t>10</w:t>
      </w:r>
      <w:r>
        <w:rPr>
          <w:rFonts w:hint="eastAsia" w:ascii="黑体" w:hAnsi="黑体" w:eastAsia="黑体" w:cs="黑体"/>
          <w:b w:val="0"/>
          <w:snapToGrid/>
          <w:color w:val="auto"/>
          <w:kern w:val="2"/>
          <w:highlight w:val="none"/>
          <w:lang w:val="en-US" w:eastAsia="zh-CN"/>
        </w:rPr>
        <w:t>.</w:t>
      </w:r>
      <w:r>
        <w:rPr>
          <w:rFonts w:hint="eastAsia" w:ascii="黑体" w:hAnsi="黑体" w:eastAsia="黑体" w:cs="黑体"/>
          <w:b w:val="0"/>
          <w:snapToGrid/>
          <w:color w:val="auto"/>
          <w:kern w:val="2"/>
          <w:highlight w:val="none"/>
        </w:rPr>
        <w:t>预案管理</w:t>
      </w:r>
      <w:bookmarkEnd w:id="313"/>
      <w:bookmarkEnd w:id="314"/>
      <w:bookmarkEnd w:id="315"/>
      <w:bookmarkEnd w:id="316"/>
    </w:p>
    <w:p>
      <w:pPr>
        <w:pStyle w:val="30"/>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317" w:name="_Toc14929"/>
      <w:bookmarkStart w:id="318" w:name="_Toc1880"/>
      <w:bookmarkStart w:id="319" w:name="_Toc23532"/>
      <w:bookmarkStart w:id="320" w:name="_Toc459"/>
      <w:bookmarkStart w:id="321" w:name="_Toc262556079"/>
      <w:r>
        <w:rPr>
          <w:rFonts w:hint="eastAsia" w:ascii="Times New Roman" w:hAnsi="Times New Roman" w:eastAsia="楷体_GB2312" w:cs="楷体_GB2312"/>
          <w:snapToGrid/>
          <w:color w:val="auto"/>
          <w:kern w:val="2"/>
          <w:highlight w:val="none"/>
          <w:lang w:val="en-US" w:eastAsia="zh-CN"/>
        </w:rPr>
        <w:t>10</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1</w:t>
      </w:r>
      <w:r>
        <w:rPr>
          <w:rFonts w:hint="eastAsia" w:ascii="楷体_GB2312" w:hAnsi="楷体_GB2312" w:eastAsia="楷体_GB2312" w:cs="楷体_GB2312"/>
          <w:snapToGrid/>
          <w:color w:val="auto"/>
          <w:kern w:val="2"/>
          <w:highlight w:val="none"/>
        </w:rPr>
        <w:t>预案演练</w:t>
      </w:r>
      <w:bookmarkEnd w:id="317"/>
      <w:bookmarkEnd w:id="318"/>
      <w:bookmarkEnd w:id="319"/>
      <w:bookmarkEnd w:id="320"/>
      <w:bookmarkEnd w:id="321"/>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lang w:eastAsia="zh-CN"/>
        </w:rPr>
        <w:t>区</w:t>
      </w:r>
      <w:r>
        <w:rPr>
          <w:rFonts w:hint="eastAsia" w:ascii="仿宋_GB2312" w:hAnsi="仿宋_GB2312" w:eastAsia="仿宋_GB2312" w:cs="仿宋_GB2312"/>
          <w:snapToGrid/>
          <w:color w:val="auto"/>
          <w:kern w:val="2"/>
          <w:sz w:val="32"/>
          <w:highlight w:val="none"/>
        </w:rPr>
        <w:t>森防指办公室会同有关部门组织预案学习、宣传和培训，并定期组织预案应急演练。</w:t>
      </w:r>
    </w:p>
    <w:p>
      <w:pPr>
        <w:pStyle w:val="30"/>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楷体_GB2312" w:hAnsi="楷体_GB2312" w:eastAsia="楷体_GB2312" w:cs="楷体_GB2312"/>
          <w:snapToGrid/>
          <w:color w:val="auto"/>
          <w:kern w:val="2"/>
          <w:highlight w:val="none"/>
        </w:rPr>
      </w:pPr>
      <w:bookmarkStart w:id="322" w:name="_Toc4711"/>
      <w:bookmarkStart w:id="323" w:name="_Toc28506"/>
      <w:bookmarkStart w:id="324" w:name="_Toc13755"/>
      <w:bookmarkStart w:id="325" w:name="_Toc10966"/>
      <w:bookmarkStart w:id="326" w:name="_Toc262554736"/>
      <w:bookmarkStart w:id="327" w:name="_Toc262556080"/>
      <w:bookmarkStart w:id="328" w:name="_Toc262555304"/>
      <w:r>
        <w:rPr>
          <w:rFonts w:hint="eastAsia" w:ascii="Times New Roman" w:hAnsi="Times New Roman" w:eastAsia="楷体_GB2312" w:cs="楷体_GB2312"/>
          <w:snapToGrid/>
          <w:color w:val="auto"/>
          <w:kern w:val="2"/>
          <w:highlight w:val="none"/>
          <w:lang w:val="en-US" w:eastAsia="zh-CN"/>
        </w:rPr>
        <w:t>10</w:t>
      </w:r>
      <w:r>
        <w:rPr>
          <w:rFonts w:hint="eastAsia" w:ascii="楷体_GB2312" w:hAnsi="楷体_GB2312" w:eastAsia="楷体_GB2312" w:cs="楷体_GB2312"/>
          <w:snapToGrid/>
          <w:color w:val="auto"/>
          <w:kern w:val="2"/>
          <w:highlight w:val="none"/>
          <w:lang w:val="en-US" w:eastAsia="zh-CN"/>
        </w:rPr>
        <w:t>.</w:t>
      </w:r>
      <w:r>
        <w:rPr>
          <w:rFonts w:hint="eastAsia" w:ascii="Times New Roman" w:hAnsi="Times New Roman" w:eastAsia="楷体_GB2312" w:cs="楷体_GB2312"/>
          <w:snapToGrid/>
          <w:color w:val="auto"/>
          <w:kern w:val="2"/>
          <w:highlight w:val="none"/>
          <w:lang w:val="en-US" w:eastAsia="zh-CN"/>
        </w:rPr>
        <w:t>2</w:t>
      </w:r>
      <w:r>
        <w:rPr>
          <w:rFonts w:hint="eastAsia" w:ascii="楷体_GB2312" w:hAnsi="楷体_GB2312" w:eastAsia="楷体_GB2312" w:cs="楷体_GB2312"/>
          <w:snapToGrid/>
          <w:color w:val="auto"/>
          <w:kern w:val="2"/>
          <w:highlight w:val="none"/>
        </w:rPr>
        <w:t>预案更新</w:t>
      </w:r>
      <w:bookmarkEnd w:id="322"/>
      <w:bookmarkEnd w:id="323"/>
      <w:bookmarkEnd w:id="324"/>
      <w:bookmarkEnd w:id="325"/>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highlight w:val="none"/>
        </w:rPr>
      </w:pPr>
      <w:r>
        <w:rPr>
          <w:rFonts w:hint="eastAsia" w:ascii="仿宋_GB2312" w:hAnsi="仿宋_GB2312" w:eastAsia="仿宋_GB2312" w:cs="仿宋_GB2312"/>
          <w:snapToGrid/>
          <w:color w:val="auto"/>
          <w:kern w:val="2"/>
          <w:sz w:val="32"/>
          <w:highlight w:val="none"/>
        </w:rPr>
        <w:t>根据实际需要适时组织评估和修订。</w:t>
      </w:r>
    </w:p>
    <w:p>
      <w:pPr>
        <w:pStyle w:val="29"/>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黑体" w:hAnsi="黑体" w:eastAsia="黑体" w:cs="黑体"/>
          <w:b w:val="0"/>
          <w:snapToGrid/>
          <w:color w:val="auto"/>
          <w:kern w:val="2"/>
          <w:highlight w:val="none"/>
        </w:rPr>
      </w:pPr>
      <w:bookmarkStart w:id="329" w:name="_Toc12755"/>
      <w:bookmarkStart w:id="330" w:name="_Toc32471"/>
      <w:bookmarkStart w:id="331" w:name="_Toc1499"/>
      <w:bookmarkStart w:id="332" w:name="_Toc9849"/>
      <w:r>
        <w:rPr>
          <w:rFonts w:hint="eastAsia" w:ascii="Times New Roman" w:hAnsi="Times New Roman" w:eastAsia="黑体" w:cs="黑体"/>
          <w:b w:val="0"/>
          <w:snapToGrid/>
          <w:color w:val="auto"/>
          <w:kern w:val="2"/>
          <w:highlight w:val="none"/>
          <w:lang w:val="en-US" w:eastAsia="zh-CN"/>
        </w:rPr>
        <w:t>11</w:t>
      </w:r>
      <w:r>
        <w:rPr>
          <w:rFonts w:hint="eastAsia" w:ascii="黑体" w:hAnsi="黑体" w:eastAsia="黑体" w:cs="黑体"/>
          <w:b w:val="0"/>
          <w:snapToGrid/>
          <w:color w:val="auto"/>
          <w:kern w:val="2"/>
          <w:highlight w:val="none"/>
          <w:lang w:val="en-US" w:eastAsia="zh-CN"/>
        </w:rPr>
        <w:t>.</w:t>
      </w:r>
      <w:r>
        <w:rPr>
          <w:rFonts w:hint="eastAsia" w:ascii="黑体" w:hAnsi="黑体" w:eastAsia="黑体" w:cs="黑体"/>
          <w:b w:val="0"/>
          <w:snapToGrid/>
          <w:color w:val="auto"/>
          <w:kern w:val="2"/>
          <w:highlight w:val="none"/>
        </w:rPr>
        <w:t>附则</w:t>
      </w:r>
      <w:bookmarkEnd w:id="326"/>
      <w:bookmarkEnd w:id="327"/>
      <w:bookmarkEnd w:id="328"/>
      <w:bookmarkEnd w:id="329"/>
      <w:bookmarkEnd w:id="330"/>
      <w:bookmarkEnd w:id="331"/>
      <w:bookmarkEnd w:id="332"/>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highlight w:val="none"/>
        </w:rPr>
        <w:t>（</w:t>
      </w:r>
      <w:r>
        <w:rPr>
          <w:rFonts w:hint="eastAsia" w:ascii="Times New Roman" w:hAnsi="Times New Roman" w:eastAsia="仿宋_GB2312" w:cs="仿宋_GB2312"/>
          <w:snapToGrid/>
          <w:color w:val="auto"/>
          <w:kern w:val="2"/>
          <w:sz w:val="32"/>
          <w:highlight w:val="none"/>
        </w:rPr>
        <w:t>1</w:t>
      </w:r>
      <w:r>
        <w:rPr>
          <w:rFonts w:hint="eastAsia" w:ascii="仿宋_GB2312" w:hAnsi="仿宋_GB2312" w:eastAsia="仿宋_GB2312" w:cs="仿宋_GB2312"/>
          <w:snapToGrid/>
          <w:color w:val="auto"/>
          <w:kern w:val="2"/>
          <w:sz w:val="32"/>
          <w:highlight w:val="none"/>
        </w:rPr>
        <w:t>）本预</w:t>
      </w:r>
      <w:r>
        <w:rPr>
          <w:rFonts w:hint="eastAsia" w:ascii="仿宋_GB2312" w:hAnsi="仿宋_GB2312" w:eastAsia="仿宋_GB2312" w:cs="仿宋_GB2312"/>
          <w:snapToGrid/>
          <w:color w:val="auto"/>
          <w:kern w:val="2"/>
          <w:sz w:val="32"/>
          <w:szCs w:val="32"/>
          <w:highlight w:val="none"/>
        </w:rPr>
        <w:t>案</w:t>
      </w:r>
      <w:r>
        <w:rPr>
          <w:rFonts w:hint="eastAsia" w:ascii="仿宋_GB2312" w:hAnsi="仿宋_GB2312" w:eastAsia="仿宋_GB2312" w:cs="仿宋_GB2312"/>
          <w:snapToGrid/>
          <w:color w:val="auto"/>
          <w:kern w:val="2"/>
          <w:sz w:val="32"/>
          <w:szCs w:val="32"/>
          <w:highlight w:val="none"/>
          <w:lang w:eastAsia="zh-CN"/>
        </w:rPr>
        <w:t>由增城区森林防灭火指挥部办公室负责解释</w:t>
      </w:r>
      <w:r>
        <w:rPr>
          <w:rFonts w:hint="eastAsia" w:ascii="仿宋_GB2312" w:hAnsi="仿宋_GB2312" w:eastAsia="仿宋_GB2312" w:cs="仿宋_GB2312"/>
          <w:snapToGrid/>
          <w:color w:val="auto"/>
          <w:kern w:val="2"/>
          <w:sz w:val="32"/>
          <w:szCs w:val="32"/>
          <w:highlight w:val="none"/>
        </w:rPr>
        <w:t>。</w:t>
      </w:r>
    </w:p>
    <w:p>
      <w:pPr>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sz w:val="32"/>
          <w:szCs w:val="32"/>
          <w:highlight w:val="none"/>
        </w:rPr>
      </w:pPr>
      <w:r>
        <w:rPr>
          <w:rFonts w:hint="eastAsia" w:ascii="仿宋_GB2312" w:hAnsi="仿宋_GB2312" w:eastAsia="仿宋_GB2312" w:cs="仿宋_GB2312"/>
          <w:snapToGrid/>
          <w:color w:val="auto"/>
          <w:kern w:val="2"/>
          <w:sz w:val="32"/>
          <w:szCs w:val="32"/>
          <w:highlight w:val="none"/>
        </w:rPr>
        <w:t>（</w:t>
      </w:r>
      <w:r>
        <w:rPr>
          <w:rFonts w:hint="eastAsia" w:ascii="Times New Roman" w:hAnsi="Times New Roman" w:eastAsia="仿宋_GB2312" w:cs="仿宋_GB2312"/>
          <w:snapToGrid/>
          <w:color w:val="auto"/>
          <w:kern w:val="2"/>
          <w:sz w:val="32"/>
          <w:szCs w:val="32"/>
          <w:highlight w:val="none"/>
        </w:rPr>
        <w:t>2</w:t>
      </w:r>
      <w:r>
        <w:rPr>
          <w:rFonts w:hint="eastAsia" w:ascii="仿宋_GB2312" w:hAnsi="仿宋_GB2312" w:eastAsia="仿宋_GB2312" w:cs="仿宋_GB2312"/>
          <w:snapToGrid/>
          <w:color w:val="auto"/>
          <w:kern w:val="2"/>
          <w:sz w:val="32"/>
          <w:szCs w:val="32"/>
          <w:highlight w:val="none"/>
        </w:rPr>
        <w:t>）各相关单位应根据本</w:t>
      </w:r>
      <w:r>
        <w:rPr>
          <w:rFonts w:hint="eastAsia" w:ascii="仿宋_GB2312" w:hAnsi="仿宋_GB2312" w:eastAsia="仿宋_GB2312" w:cs="仿宋_GB2312"/>
          <w:snapToGrid/>
          <w:color w:val="auto"/>
          <w:kern w:val="2"/>
          <w:sz w:val="32"/>
          <w:szCs w:val="32"/>
          <w:highlight w:val="none"/>
          <w:lang w:eastAsia="zh-CN"/>
        </w:rPr>
        <w:t>预案，结合本</w:t>
      </w:r>
      <w:r>
        <w:rPr>
          <w:rFonts w:hint="eastAsia" w:ascii="仿宋_GB2312" w:hAnsi="仿宋_GB2312" w:eastAsia="仿宋_GB2312" w:cs="仿宋_GB2312"/>
          <w:snapToGrid/>
          <w:color w:val="auto"/>
          <w:kern w:val="2"/>
          <w:sz w:val="32"/>
          <w:szCs w:val="32"/>
          <w:highlight w:val="none"/>
        </w:rPr>
        <w:t>单位实际情况和森林火灾危险源状况，制定相应</w:t>
      </w:r>
      <w:r>
        <w:rPr>
          <w:rFonts w:hint="eastAsia" w:ascii="仿宋_GB2312" w:hAnsi="仿宋_GB2312" w:eastAsia="仿宋_GB2312" w:cs="仿宋_GB2312"/>
          <w:snapToGrid/>
          <w:color w:val="auto"/>
          <w:kern w:val="2"/>
          <w:sz w:val="32"/>
          <w:szCs w:val="32"/>
          <w:highlight w:val="none"/>
          <w:lang w:eastAsia="zh-CN"/>
        </w:rPr>
        <w:t>的</w:t>
      </w:r>
      <w:r>
        <w:rPr>
          <w:rFonts w:hint="eastAsia" w:ascii="仿宋_GB2312" w:hAnsi="仿宋_GB2312" w:eastAsia="仿宋_GB2312" w:cs="仿宋_GB2312"/>
          <w:snapToGrid/>
          <w:color w:val="auto"/>
          <w:kern w:val="2"/>
          <w:sz w:val="32"/>
          <w:szCs w:val="32"/>
          <w:highlight w:val="none"/>
        </w:rPr>
        <w:t>应急预案或工作方案。</w:t>
      </w:r>
    </w:p>
    <w:p>
      <w:pPr>
        <w:pStyle w:val="8"/>
        <w:keepNext w:val="0"/>
        <w:keepLines w:val="0"/>
        <w:pageBreakBefore w:val="0"/>
        <w:widowControl w:val="0"/>
        <w:kinsoku/>
        <w:wordWrap/>
        <w:overflowPunct/>
        <w:topLinePunct w:val="0"/>
        <w:autoSpaceDE/>
        <w:autoSpaceDN/>
        <w:bidi w:val="0"/>
        <w:spacing w:line="570" w:lineRule="exact"/>
        <w:ind w:firstLine="632" w:firstLineChars="200"/>
        <w:textAlignment w:val="auto"/>
        <w:rPr>
          <w:rFonts w:hint="eastAsia" w:ascii="仿宋_GB2312" w:hAnsi="仿宋_GB2312" w:eastAsia="仿宋_GB2312" w:cs="仿宋_GB2312"/>
          <w:snapToGrid/>
          <w:color w:val="auto"/>
          <w:kern w:val="2"/>
          <w:highlight w:val="none"/>
        </w:rPr>
      </w:pP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rPr>
        <w:t>3</w:t>
      </w:r>
      <w:r>
        <w:rPr>
          <w:rFonts w:hint="eastAsia" w:ascii="仿宋_GB2312" w:hAnsi="仿宋_GB2312" w:eastAsia="仿宋_GB2312" w:cs="仿宋_GB2312"/>
          <w:snapToGrid/>
          <w:color w:val="auto"/>
          <w:kern w:val="2"/>
          <w:highlight w:val="none"/>
        </w:rPr>
        <w:t>）本预案自印发之日起实施。</w:t>
      </w:r>
      <w:r>
        <w:rPr>
          <w:rFonts w:hint="eastAsia" w:ascii="Times New Roman" w:hAnsi="Times New Roman" w:eastAsia="仿宋_GB2312" w:cs="仿宋_GB2312"/>
          <w:snapToGrid/>
          <w:color w:val="auto"/>
          <w:kern w:val="2"/>
          <w:highlight w:val="none"/>
        </w:rPr>
        <w:t>2</w:t>
      </w:r>
      <w:r>
        <w:rPr>
          <w:rFonts w:hint="eastAsia" w:ascii="Times New Roman" w:hAnsi="Times New Roman" w:eastAsia="仿宋_GB2312" w:cs="仿宋_GB2312"/>
          <w:snapToGrid/>
          <w:color w:val="auto"/>
          <w:kern w:val="2"/>
          <w:highlight w:val="none"/>
          <w:lang w:val="en-US" w:eastAsia="zh-CN"/>
        </w:rPr>
        <w:t>022</w:t>
      </w:r>
      <w:r>
        <w:rPr>
          <w:rFonts w:hint="eastAsia" w:ascii="仿宋_GB2312" w:hAnsi="仿宋_GB2312" w:eastAsia="仿宋_GB2312" w:cs="仿宋_GB2312"/>
          <w:snapToGrid/>
          <w:color w:val="auto"/>
          <w:kern w:val="2"/>
          <w:highlight w:val="none"/>
        </w:rPr>
        <w:t>年</w:t>
      </w:r>
      <w:r>
        <w:rPr>
          <w:rFonts w:hint="eastAsia" w:ascii="仿宋_GB2312" w:hAnsi="仿宋_GB2312" w:eastAsia="仿宋_GB2312" w:cs="仿宋_GB2312"/>
          <w:snapToGrid/>
          <w:color w:val="auto"/>
          <w:kern w:val="2"/>
          <w:highlight w:val="none"/>
          <w:lang w:eastAsia="zh-CN"/>
        </w:rPr>
        <w:t>区</w:t>
      </w:r>
      <w:r>
        <w:rPr>
          <w:rFonts w:hint="eastAsia" w:ascii="仿宋_GB2312" w:hAnsi="仿宋_GB2312" w:eastAsia="仿宋_GB2312" w:cs="仿宋_GB2312"/>
          <w:snapToGrid/>
          <w:color w:val="auto"/>
          <w:kern w:val="2"/>
          <w:highlight w:val="none"/>
        </w:rPr>
        <w:t>政府办公</w:t>
      </w:r>
      <w:r>
        <w:rPr>
          <w:rFonts w:hint="eastAsia" w:ascii="仿宋_GB2312" w:hAnsi="仿宋_GB2312" w:eastAsia="仿宋_GB2312" w:cs="仿宋_GB2312"/>
          <w:snapToGrid/>
          <w:color w:val="auto"/>
          <w:kern w:val="2"/>
          <w:highlight w:val="none"/>
          <w:lang w:eastAsia="zh-CN"/>
        </w:rPr>
        <w:t>室</w:t>
      </w:r>
      <w:r>
        <w:rPr>
          <w:rFonts w:hint="eastAsia" w:ascii="仿宋_GB2312" w:hAnsi="仿宋_GB2312" w:eastAsia="仿宋_GB2312" w:cs="仿宋_GB2312"/>
          <w:snapToGrid/>
          <w:color w:val="auto"/>
          <w:kern w:val="2"/>
          <w:highlight w:val="none"/>
        </w:rPr>
        <w:t>印发的《</w:t>
      </w:r>
      <w:r>
        <w:rPr>
          <w:rFonts w:hint="eastAsia" w:ascii="仿宋_GB2312" w:hAnsi="仿宋_GB2312" w:eastAsia="仿宋_GB2312" w:cs="仿宋_GB2312"/>
          <w:snapToGrid/>
          <w:color w:val="auto"/>
          <w:kern w:val="2"/>
          <w:highlight w:val="none"/>
          <w:lang w:eastAsia="zh-CN"/>
        </w:rPr>
        <w:t>增城区</w:t>
      </w:r>
      <w:r>
        <w:rPr>
          <w:rFonts w:hint="eastAsia" w:ascii="仿宋_GB2312" w:hAnsi="仿宋_GB2312" w:eastAsia="仿宋_GB2312" w:cs="仿宋_GB2312"/>
          <w:snapToGrid/>
          <w:color w:val="auto"/>
          <w:kern w:val="2"/>
          <w:highlight w:val="none"/>
        </w:rPr>
        <w:t>森林火灾应急预案》（</w:t>
      </w:r>
      <w:r>
        <w:rPr>
          <w:rFonts w:hint="eastAsia" w:ascii="仿宋_GB2312" w:hAnsi="仿宋_GB2312" w:eastAsia="仿宋_GB2312" w:cs="仿宋_GB2312"/>
          <w:snapToGrid/>
          <w:color w:val="auto"/>
          <w:kern w:val="2"/>
          <w:highlight w:val="none"/>
          <w:lang w:eastAsia="zh-CN"/>
        </w:rPr>
        <w:t>增</w:t>
      </w:r>
      <w:r>
        <w:rPr>
          <w:rFonts w:hint="eastAsia" w:ascii="仿宋_GB2312" w:hAnsi="仿宋_GB2312" w:eastAsia="仿宋_GB2312" w:cs="仿宋_GB2312"/>
          <w:snapToGrid/>
          <w:color w:val="auto"/>
          <w:kern w:val="2"/>
          <w:highlight w:val="none"/>
        </w:rPr>
        <w:t>府办函〔</w:t>
      </w:r>
      <w:r>
        <w:rPr>
          <w:rFonts w:hint="eastAsia" w:ascii="Times New Roman" w:hAnsi="Times New Roman" w:eastAsia="仿宋_GB2312" w:cs="仿宋_GB2312"/>
          <w:snapToGrid/>
          <w:color w:val="auto"/>
          <w:kern w:val="2"/>
          <w:highlight w:val="none"/>
        </w:rPr>
        <w:t>20</w:t>
      </w:r>
      <w:r>
        <w:rPr>
          <w:rFonts w:hint="eastAsia" w:ascii="Times New Roman" w:hAnsi="Times New Roman" w:eastAsia="仿宋_GB2312" w:cs="仿宋_GB2312"/>
          <w:snapToGrid/>
          <w:color w:val="auto"/>
          <w:kern w:val="2"/>
          <w:highlight w:val="none"/>
          <w:lang w:val="en-US" w:eastAsia="zh-CN"/>
        </w:rPr>
        <w:t>22</w:t>
      </w:r>
      <w:r>
        <w:rPr>
          <w:rFonts w:hint="eastAsia" w:ascii="仿宋_GB2312" w:hAnsi="仿宋_GB2312" w:eastAsia="仿宋_GB2312" w:cs="仿宋_GB2312"/>
          <w:snapToGrid/>
          <w:color w:val="auto"/>
          <w:kern w:val="2"/>
          <w:highlight w:val="none"/>
        </w:rPr>
        <w:t>〕</w:t>
      </w:r>
      <w:r>
        <w:rPr>
          <w:rFonts w:hint="eastAsia" w:ascii="Times New Roman" w:hAnsi="Times New Roman" w:eastAsia="仿宋_GB2312" w:cs="仿宋_GB2312"/>
          <w:snapToGrid/>
          <w:color w:val="auto"/>
          <w:kern w:val="2"/>
          <w:highlight w:val="none"/>
          <w:lang w:val="en-US" w:eastAsia="zh-CN"/>
        </w:rPr>
        <w:t>9</w:t>
      </w:r>
      <w:r>
        <w:rPr>
          <w:rFonts w:hint="eastAsia" w:ascii="仿宋_GB2312" w:hAnsi="仿宋_GB2312" w:eastAsia="仿宋_GB2312" w:cs="仿宋_GB2312"/>
          <w:snapToGrid/>
          <w:color w:val="auto"/>
          <w:kern w:val="2"/>
          <w:highlight w:val="none"/>
        </w:rPr>
        <w:t>号）同时废止。</w:t>
      </w:r>
    </w:p>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黑体" w:hAnsi="黑体" w:eastAsia="黑体"/>
          <w:b w:val="0"/>
          <w:snapToGrid/>
          <w:color w:val="auto"/>
          <w:kern w:val="2"/>
          <w:highlight w:val="none"/>
        </w:rPr>
      </w:pPr>
      <w:bookmarkStart w:id="333" w:name="_Toc16680"/>
      <w:bookmarkStart w:id="334" w:name="_Toc20329"/>
      <w:bookmarkStart w:id="335" w:name="_Toc13556"/>
      <w:bookmarkStart w:id="336" w:name="_Toc8429"/>
      <w:r>
        <w:rPr>
          <w:rFonts w:hint="eastAsia" w:ascii="Times New Roman" w:hAnsi="Times New Roman" w:eastAsia="黑体"/>
          <w:b w:val="0"/>
          <w:snapToGrid/>
          <w:color w:val="auto"/>
          <w:kern w:val="2"/>
          <w:highlight w:val="none"/>
          <w:lang w:val="en-US" w:eastAsia="zh-CN"/>
        </w:rPr>
        <w:t>12</w:t>
      </w:r>
      <w:r>
        <w:rPr>
          <w:rFonts w:hint="eastAsia" w:ascii="黑体" w:hAnsi="黑体" w:eastAsia="黑体"/>
          <w:b w:val="0"/>
          <w:snapToGrid/>
          <w:color w:val="auto"/>
          <w:kern w:val="2"/>
          <w:highlight w:val="none"/>
          <w:lang w:val="en-US" w:eastAsia="zh-CN"/>
        </w:rPr>
        <w:t>.</w:t>
      </w:r>
      <w:r>
        <w:rPr>
          <w:rFonts w:hint="eastAsia" w:ascii="黑体" w:hAnsi="黑体" w:eastAsia="黑体"/>
          <w:b w:val="0"/>
          <w:snapToGrid/>
          <w:color w:val="auto"/>
          <w:kern w:val="2"/>
          <w:highlight w:val="none"/>
        </w:rPr>
        <w:t>附件</w:t>
      </w:r>
      <w:bookmarkEnd w:id="333"/>
      <w:bookmarkEnd w:id="334"/>
      <w:bookmarkEnd w:id="335"/>
      <w:bookmarkEnd w:id="336"/>
    </w:p>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黑体" w:hAnsi="黑体" w:eastAsia="黑体"/>
          <w:b w:val="0"/>
          <w:snapToGrid/>
          <w:color w:val="auto"/>
          <w:kern w:val="2"/>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黑体" w:hAnsi="黑体" w:eastAsia="黑体"/>
          <w:b w:val="0"/>
          <w:snapToGrid/>
          <w:color w:val="auto"/>
          <w:kern w:val="2"/>
          <w:highlight w:val="none"/>
        </w:rPr>
      </w:pPr>
    </w:p>
    <w:p>
      <w:pPr>
        <w:pStyle w:val="29"/>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黑体" w:hAnsi="黑体" w:eastAsia="黑体"/>
          <w:b w:val="0"/>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outlineLvl w:val="1"/>
        <w:rPr>
          <w:rFonts w:hint="eastAsia" w:ascii="黑体" w:hAnsi="黑体" w:eastAsia="黑体" w:cs="黑体"/>
          <w:b w:val="0"/>
          <w:bCs w:val="0"/>
          <w:snapToGrid/>
          <w:color w:val="auto"/>
          <w:kern w:val="2"/>
          <w:highlight w:val="none"/>
          <w:lang w:val="en-US" w:eastAsia="zh-CN"/>
        </w:rPr>
      </w:pPr>
      <w:bookmarkStart w:id="337" w:name="_Toc10919"/>
      <w:bookmarkStart w:id="338" w:name="_Toc2555"/>
      <w:r>
        <w:rPr>
          <w:rFonts w:hint="eastAsia" w:ascii="黑体" w:hAnsi="黑体" w:eastAsia="黑体" w:cs="黑体"/>
          <w:b w:val="0"/>
          <w:bCs w:val="0"/>
          <w:snapToGrid/>
          <w:color w:val="auto"/>
          <w:kern w:val="2"/>
          <w:highlight w:val="none"/>
          <w:lang w:eastAsia="zh-CN"/>
        </w:rPr>
        <w:t>附件</w:t>
      </w:r>
      <w:r>
        <w:rPr>
          <w:rFonts w:hint="eastAsia" w:ascii="Times New Roman" w:hAnsi="Times New Roman" w:eastAsia="黑体" w:cs="黑体"/>
          <w:b w:val="0"/>
          <w:bCs w:val="0"/>
          <w:snapToGrid/>
          <w:color w:val="auto"/>
          <w:kern w:val="2"/>
          <w:highlight w:val="none"/>
          <w:lang w:val="en-US" w:eastAsia="zh-CN"/>
        </w:rPr>
        <w:t>1</w:t>
      </w:r>
      <w:bookmarkEnd w:id="337"/>
      <w:bookmarkEnd w:id="338"/>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outlineLvl w:val="1"/>
        <w:rPr>
          <w:rFonts w:hint="eastAsia" w:ascii="黑体" w:hAnsi="黑体" w:eastAsia="黑体" w:cs="黑体"/>
          <w:b w:val="0"/>
          <w:bCs w:val="0"/>
          <w:snapToGrid/>
          <w:color w:val="auto"/>
          <w:kern w:val="2"/>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outlineLvl w:val="1"/>
        <w:rPr>
          <w:rFonts w:hint="eastAsia" w:ascii="方正小标宋简体" w:hAnsi="方正小标宋简体" w:eastAsia="方正小标宋简体" w:cs="方正小标宋简体"/>
          <w:snapToGrid/>
          <w:color w:val="auto"/>
          <w:kern w:val="2"/>
          <w:sz w:val="44"/>
          <w:szCs w:val="44"/>
          <w:highlight w:val="none"/>
        </w:rPr>
      </w:pPr>
      <w:bookmarkStart w:id="339" w:name="_Toc19358"/>
      <w:bookmarkStart w:id="340" w:name="_Toc7850"/>
      <w:r>
        <w:rPr>
          <w:rFonts w:hint="eastAsia" w:ascii="方正小标宋简体" w:hAnsi="方正小标宋简体" w:eastAsia="方正小标宋简体" w:cs="方正小标宋简体"/>
          <w:snapToGrid/>
          <w:color w:val="auto"/>
          <w:kern w:val="2"/>
          <w:sz w:val="44"/>
          <w:szCs w:val="44"/>
          <w:highlight w:val="none"/>
        </w:rPr>
        <w:t>森林火灾扑救安全常识</w:t>
      </w:r>
      <w:bookmarkEnd w:id="339"/>
      <w:bookmarkEnd w:id="340"/>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632" w:firstLineChars="200"/>
        <w:jc w:val="both"/>
        <w:textAlignment w:val="auto"/>
        <w:rPr>
          <w:rFonts w:hint="eastAsia" w:ascii="黑体" w:hAnsi="黑体" w:eastAsia="黑体" w:cs="黑体"/>
          <w:snapToGrid/>
          <w:color w:val="auto"/>
          <w:kern w:val="2"/>
          <w:highlight w:val="none"/>
        </w:rPr>
      </w:pPr>
      <w:r>
        <w:rPr>
          <w:rFonts w:hint="eastAsia" w:ascii="黑体" w:hAnsi="黑体" w:eastAsia="黑体" w:cs="黑体"/>
          <w:snapToGrid/>
          <w:color w:val="auto"/>
          <w:kern w:val="2"/>
          <w:highlight w:val="none"/>
          <w:lang w:val="en-US" w:eastAsia="zh-CN"/>
        </w:rPr>
        <w:t>一、森林草原扑火指挥“十个严禁”</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（一）严禁不懂打火的人指挥打火，未经专业培训、缺乏实战经验的指挥员不得直接指挥扑火行动。</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（二）严禁地方部门领导或乡镇领导在现场指挥部成立后担任总指挥（不包括火情早期处理）。</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（三）严禁行政指挥代替专业指挥。</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（四）严禁多头指挥、各行其是、各自为战。</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（五）严禁现场指挥部和指挥员未经火场勘察、态势研判和安全风险评估直接部署力量、展开扑火行动。</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（六）严禁在火势迅猛的火头正前方和从山下向山上，以及梯形可燃物分布明显地域直接部署力量。</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（七）严禁指挥队伍从植被垂直分布、易燃性强、郁闭度大的地段接近火场。</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八）严禁指挥队伍盲目进入陡坡、山脊线、草塘沟、单口山谷、山岩凸起地形、鞍部、山体滑坡和滚石较多地域等危险地形，以及易燃灌木丛、草甸、针叶幼树林、高山竹林等危险可燃物分布集中区域冒然直接扑火。</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（九）严禁在未预设安全区域和安全撤离路线情况下组织队伍扑火。</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snapToGrid/>
          <w:color w:val="auto"/>
          <w:kern w:val="2"/>
          <w:highlight w:val="none"/>
          <w:lang w:eastAsia="zh-CN"/>
        </w:rPr>
      </w:pPr>
      <w:r>
        <w:rPr>
          <w:rFonts w:hint="eastAsia"/>
          <w:snapToGrid/>
          <w:color w:val="auto"/>
          <w:kern w:val="2"/>
          <w:highlight w:val="none"/>
          <w:lang w:eastAsia="zh-CN"/>
        </w:rPr>
        <w:t>（十）严禁组织队伍在草塘沟、悬崖陡坡下方、可能二次燃烧的火烧迹地、火场附近的密林等区域休整宿营。</w:t>
      </w:r>
    </w:p>
    <w:p>
      <w:pPr>
        <w:pStyle w:val="8"/>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snapToGrid/>
          <w:color w:val="auto"/>
          <w:kern w:val="2"/>
          <w:highlight w:val="none"/>
          <w:lang w:val="en-US" w:eastAsia="zh-CN"/>
        </w:rPr>
      </w:pPr>
      <w:r>
        <w:rPr>
          <w:rFonts w:hint="eastAsia" w:ascii="黑体" w:hAnsi="黑体" w:eastAsia="黑体" w:cs="黑体"/>
          <w:snapToGrid/>
          <w:color w:val="auto"/>
          <w:kern w:val="2"/>
          <w:highlight w:val="none"/>
          <w:lang w:eastAsia="zh-CN"/>
        </w:rPr>
        <w:t>二、森林草原火灾扑救“三先四不打”</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“三先”：火情不明先侦察，气象不利先等待，地形不利先规避；</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“四不打”：未经训练的非专业人员不打火，高温大风等不利气象条件不打火，可视度差的夜间等不利时段不打火，悬崖陡坡沟深谷窄等不利地形不打火。</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ascii="黑体" w:hAnsi="黑体" w:eastAsia="黑体" w:cs="黑体"/>
          <w:snapToGrid/>
          <w:color w:val="auto"/>
          <w:kern w:val="2"/>
          <w:highlight w:val="none"/>
          <w:lang w:val="en-US" w:eastAsia="zh-CN"/>
        </w:rPr>
        <w:t>三、森林草原火灾扑救安全“十个必须”</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（一）必须牢固树立安全第一思想；</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（二）必须建立健全安全工作规范；</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（三）必须深入排查安全风险隐患；</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（四）必须切实强化紧急避险训练；</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（五）必须强化火场专业指挥；</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（六）必须高度重视飞行安全；</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（七）必须加快改善安全防护装具；</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（八）必须抓实火场安全防范；</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（九）必须深入研究安全扑救特点规律；</w:t>
      </w:r>
    </w:p>
    <w:p>
      <w:pPr>
        <w:pStyle w:val="8"/>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snapToGrid/>
          <w:color w:val="auto"/>
          <w:kern w:val="2"/>
          <w:highlight w:val="none"/>
          <w:lang w:val="en-US" w:eastAsia="zh-CN"/>
        </w:rPr>
      </w:pPr>
      <w:r>
        <w:rPr>
          <w:rFonts w:hint="eastAsia"/>
          <w:snapToGrid/>
          <w:color w:val="auto"/>
          <w:kern w:val="2"/>
          <w:highlight w:val="none"/>
          <w:lang w:val="en-US" w:eastAsia="zh-CN"/>
        </w:rPr>
        <w:t>（十）必须严格落实安全责任。</w:t>
      </w:r>
    </w:p>
    <w:p>
      <w:pPr>
        <w:pStyle w:val="8"/>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snapToGrid/>
          <w:color w:val="auto"/>
          <w:kern w:val="2"/>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snapToGrid/>
          <w:color w:val="auto"/>
          <w:kern w:val="2"/>
          <w:highlight w:val="none"/>
          <w:lang w:val="en-US" w:eastAsia="zh-CN"/>
        </w:rPr>
      </w:pPr>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outlineLvl w:val="1"/>
        <w:rPr>
          <w:rFonts w:hint="eastAsia" w:ascii="方正小标宋简体" w:hAnsi="方正小标宋简体" w:eastAsia="方正小标宋简体" w:cs="方正小标宋简体"/>
          <w:b w:val="0"/>
          <w:bCs w:val="0"/>
          <w:snapToGrid/>
          <w:color w:val="auto"/>
          <w:kern w:val="2"/>
          <w:sz w:val="44"/>
          <w:szCs w:val="44"/>
          <w:highlight w:val="none"/>
          <w:lang w:val="en-US" w:eastAsia="zh-CN"/>
        </w:rPr>
      </w:pPr>
      <w:bookmarkStart w:id="341" w:name="_Toc22971"/>
      <w:bookmarkStart w:id="342" w:name="_Toc4124"/>
      <w:r>
        <w:rPr>
          <w:rFonts w:hint="eastAsia" w:ascii="黑体" w:hAnsi="黑体" w:eastAsia="黑体" w:cs="黑体"/>
          <w:b w:val="0"/>
          <w:bCs w:val="0"/>
          <w:snapToGrid/>
          <w:color w:val="auto"/>
          <w:kern w:val="2"/>
          <w:highlight w:val="none"/>
          <w:lang w:val="en-US" w:eastAsia="zh-CN"/>
        </w:rPr>
        <w:t>附件</w:t>
      </w:r>
      <w:r>
        <w:rPr>
          <w:rFonts w:hint="eastAsia" w:ascii="Times New Roman" w:hAnsi="Times New Roman" w:eastAsia="黑体" w:cs="黑体"/>
          <w:b w:val="0"/>
          <w:bCs w:val="0"/>
          <w:snapToGrid/>
          <w:color w:val="auto"/>
          <w:kern w:val="2"/>
          <w:highlight w:val="none"/>
          <w:lang w:val="en-US" w:eastAsia="zh-CN"/>
        </w:rPr>
        <w:t>2</w:t>
      </w:r>
      <w:r>
        <w:rPr>
          <w:rFonts w:hint="eastAsia" w:ascii="黑体" w:hAnsi="黑体" w:eastAsia="黑体" w:cs="黑体"/>
          <w:b w:val="0"/>
          <w:bCs w:val="0"/>
          <w:snapToGrid/>
          <w:color w:val="auto"/>
          <w:kern w:val="2"/>
          <w:highlight w:val="none"/>
          <w:lang w:val="en-US" w:eastAsia="zh-CN"/>
        </w:rPr>
        <w:t xml:space="preserve"> </w:t>
      </w:r>
      <w:r>
        <w:rPr>
          <w:rFonts w:hint="eastAsia" w:ascii="黑体" w:hAnsi="黑体" w:eastAsia="黑体" w:cs="黑体"/>
          <w:b w:val="0"/>
          <w:bCs w:val="0"/>
          <w:snapToGrid/>
          <w:color w:val="auto"/>
          <w:kern w:val="2"/>
          <w:sz w:val="32"/>
          <w:szCs w:val="32"/>
          <w:highlight w:val="none"/>
          <w:lang w:val="en-US" w:eastAsia="zh-CN"/>
        </w:rPr>
        <w:t>森林火灾调查报告格式规范</w:t>
      </w:r>
      <w:bookmarkEnd w:id="341"/>
      <w:bookmarkEnd w:id="342"/>
    </w:p>
    <w:p>
      <w:pPr>
        <w:pStyle w:val="8"/>
        <w:keepNext w:val="0"/>
        <w:keepLines w:val="0"/>
        <w:pageBreakBefore w:val="0"/>
        <w:widowControl w:val="0"/>
        <w:kinsoku/>
        <w:wordWrap/>
        <w:overflowPunct/>
        <w:topLinePunct w:val="0"/>
        <w:autoSpaceDE/>
        <w:autoSpaceDN/>
        <w:bidi w:val="0"/>
        <w:adjustRightInd/>
        <w:snapToGrid/>
        <w:spacing w:line="570" w:lineRule="exact"/>
        <w:textAlignment w:val="auto"/>
        <w:outlineLvl w:val="1"/>
        <w:rPr>
          <w:rFonts w:hint="eastAsia"/>
          <w:b/>
          <w:bCs/>
          <w:snapToGrid/>
          <w:color w:val="auto"/>
          <w:kern w:val="2"/>
          <w:highlight w:val="none"/>
          <w:lang w:val="en-US" w:eastAsia="zh-CN"/>
        </w:rPr>
      </w:pPr>
    </w:p>
    <w:p>
      <w:pPr>
        <w:pStyle w:val="6"/>
        <w:bidi w:val="0"/>
        <w:rPr>
          <w:rFonts w:hint="eastAsia" w:ascii="仿宋_GB2312" w:hAnsi="仿宋_GB2312" w:eastAsia="仿宋_GB2312" w:cs="仿宋_GB2312"/>
          <w:b w:val="0"/>
          <w:bCs w:val="0"/>
          <w:snapToGrid/>
          <w:color w:val="auto"/>
          <w:kern w:val="2"/>
          <w:highlight w:val="none"/>
          <w:u w:val="none"/>
          <w:lang w:val="en-US" w:eastAsia="zh-CN"/>
        </w:rPr>
      </w:pPr>
      <w:bookmarkStart w:id="343" w:name="_Toc20001"/>
      <w:bookmarkStart w:id="344" w:name="_Toc17201"/>
      <w:r>
        <w:rPr>
          <w:rFonts w:hint="eastAsia" w:ascii="方正小标宋简体" w:hAnsi="方正小标宋简体" w:eastAsia="方正小标宋简体" w:cs="方正小标宋简体"/>
          <w:b w:val="0"/>
          <w:bCs w:val="0"/>
          <w:snapToGrid/>
          <w:color w:val="auto"/>
          <w:kern w:val="2"/>
          <w:sz w:val="44"/>
          <w:szCs w:val="44"/>
          <w:highlight w:val="none"/>
          <w:u w:val="none"/>
          <w:lang w:val="en-US" w:eastAsia="zh-CN"/>
        </w:rPr>
        <w:t>镇</w:t>
      </w:r>
      <w:r>
        <w:rPr>
          <w:rFonts w:hint="eastAsia" w:ascii="方正小标宋简体" w:hAnsi="方正小标宋简体" w:eastAsia="方正小标宋简体" w:cs="方正小标宋简体"/>
          <w:b w:val="0"/>
          <w:bCs w:val="0"/>
          <w:snapToGrid/>
          <w:color w:val="auto"/>
          <w:kern w:val="2"/>
          <w:sz w:val="44"/>
          <w:szCs w:val="44"/>
          <w:highlight w:val="none"/>
          <w:u w:val="single"/>
          <w:lang w:val="en-US" w:eastAsia="zh-CN"/>
        </w:rPr>
        <w:t xml:space="preserve">    </w:t>
      </w:r>
      <w:r>
        <w:rPr>
          <w:rFonts w:hint="eastAsia" w:ascii="方正小标宋简体" w:hAnsi="方正小标宋简体" w:eastAsia="方正小标宋简体" w:cs="方正小标宋简体"/>
          <w:b w:val="0"/>
          <w:bCs w:val="0"/>
          <w:snapToGrid/>
          <w:color w:val="auto"/>
          <w:kern w:val="2"/>
          <w:sz w:val="44"/>
          <w:szCs w:val="44"/>
          <w:highlight w:val="none"/>
          <w:u w:val="none"/>
          <w:lang w:val="en-US" w:eastAsia="zh-CN"/>
        </w:rPr>
        <w:t>村</w:t>
      </w:r>
      <w:r>
        <w:rPr>
          <w:rFonts w:hint="eastAsia" w:ascii="方正小标宋简体" w:hAnsi="方正小标宋简体" w:eastAsia="方正小标宋简体" w:cs="方正小标宋简体"/>
          <w:b w:val="0"/>
          <w:bCs w:val="0"/>
          <w:snapToGrid/>
          <w:color w:val="auto"/>
          <w:kern w:val="2"/>
          <w:sz w:val="44"/>
          <w:szCs w:val="44"/>
          <w:highlight w:val="none"/>
          <w:u w:val="single"/>
          <w:lang w:val="en-US" w:eastAsia="zh-CN"/>
        </w:rPr>
        <w:t>“月.日”</w:t>
      </w:r>
      <w:r>
        <w:rPr>
          <w:rFonts w:hint="eastAsia" w:ascii="方正小标宋简体" w:hAnsi="方正小标宋简体" w:eastAsia="方正小标宋简体" w:cs="方正小标宋简体"/>
          <w:b w:val="0"/>
          <w:bCs w:val="0"/>
          <w:snapToGrid/>
          <w:color w:val="auto"/>
          <w:kern w:val="2"/>
          <w:sz w:val="44"/>
          <w:szCs w:val="44"/>
          <w:highlight w:val="none"/>
          <w:u w:val="none"/>
          <w:lang w:val="en-US" w:eastAsia="zh-CN"/>
        </w:rPr>
        <w:t>森林火灾调查报告</w:t>
      </w:r>
      <w:bookmarkEnd w:id="343"/>
      <w:bookmarkEnd w:id="344"/>
    </w:p>
    <w:p>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b w:val="0"/>
          <w:bCs w:val="0"/>
          <w:snapToGrid/>
          <w:color w:val="auto"/>
          <w:kern w:val="2"/>
          <w:highlight w:val="none"/>
          <w:u w:val="none"/>
          <w:lang w:val="en-US" w:eastAsia="zh-CN"/>
        </w:rPr>
      </w:pP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textAlignment w:val="auto"/>
        <w:rPr>
          <w:rFonts w:hint="default"/>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一、森林火灾发生情况</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eastAsia"/>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二、应急处置情况</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eastAsia"/>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三、起火点与起火原因</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eastAsia"/>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四、森林火灾损失（包括：森林资源损失、直接经济损失、间接经济损失等）</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default"/>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五、人员伤亡</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eastAsia"/>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六、存在问题</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default"/>
          <w:b w:val="0"/>
          <w:bCs w:val="0"/>
          <w:snapToGrid/>
          <w:color w:val="auto"/>
          <w:kern w:val="2"/>
          <w:highlight w:val="none"/>
          <w:u w:val="none"/>
          <w:lang w:val="en-US" w:eastAsia="zh-CN"/>
        </w:rPr>
      </w:pPr>
      <w:r>
        <w:rPr>
          <w:rFonts w:hint="eastAsia"/>
          <w:b w:val="0"/>
          <w:bCs w:val="0"/>
          <w:snapToGrid/>
          <w:color w:val="auto"/>
          <w:kern w:val="2"/>
          <w:highlight w:val="none"/>
          <w:u w:val="none"/>
          <w:lang w:val="en-US" w:eastAsia="zh-CN"/>
        </w:rPr>
        <w:t>七、责任认定及处理建议</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32" w:firstLineChars="200"/>
        <w:jc w:val="both"/>
        <w:textAlignment w:val="auto"/>
        <w:rPr>
          <w:rFonts w:hint="default"/>
          <w:b w:val="0"/>
          <w:bCs w:val="0"/>
          <w:snapToGrid/>
          <w:color w:val="auto"/>
          <w:kern w:val="2"/>
          <w:highlight w:val="none"/>
          <w:u w:val="none"/>
          <w:lang w:val="en-US" w:eastAsia="zh-CN"/>
        </w:rPr>
        <w:sectPr>
          <w:footerReference r:id="rId6" w:type="first"/>
          <w:footerReference r:id="rId4" w:type="default"/>
          <w:headerReference r:id="rId3" w:type="even"/>
          <w:footerReference r:id="rId5" w:type="even"/>
          <w:pgSz w:w="11906" w:h="16838"/>
          <w:pgMar w:top="2098" w:right="1474" w:bottom="1984" w:left="1587" w:header="851" w:footer="1757" w:gutter="0"/>
          <w:pgNumType w:fmt="decimal" w:start="1"/>
          <w:cols w:space="0" w:num="1"/>
          <w:titlePg/>
          <w:rtlGutter w:val="0"/>
          <w:docGrid w:type="linesAndChars" w:linePitch="579" w:charSpace="-842"/>
        </w:sectPr>
      </w:pPr>
      <w:r>
        <w:rPr>
          <w:rFonts w:hint="eastAsia"/>
          <w:b w:val="0"/>
          <w:bCs w:val="0"/>
          <w:snapToGrid/>
          <w:color w:val="auto"/>
          <w:kern w:val="2"/>
          <w:highlight w:val="none"/>
          <w:u w:val="none"/>
          <w:lang w:val="en-US" w:eastAsia="zh-CN"/>
        </w:rPr>
        <w:t>八、附件</w:t>
      </w:r>
    </w:p>
    <w:p>
      <w:pPr>
        <w:pStyle w:val="8"/>
        <w:spacing w:line="600" w:lineRule="exact"/>
        <w:ind w:left="0" w:leftChars="0" w:firstLine="0" w:firstLineChars="0"/>
        <w:jc w:val="left"/>
        <w:outlineLvl w:val="2"/>
        <w:rPr>
          <w:rFonts w:hint="eastAsia" w:ascii="黑体" w:hAnsi="黑体" w:eastAsia="黑体" w:cs="黑体"/>
          <w:b w:val="0"/>
          <w:bCs w:val="0"/>
          <w:snapToGrid/>
          <w:color w:val="auto"/>
          <w:kern w:val="2"/>
          <w:highlight w:val="none"/>
          <w:u w:val="none"/>
          <w:lang w:val="en-US" w:eastAsia="zh-CN"/>
        </w:rPr>
      </w:pPr>
      <w:bookmarkStart w:id="345" w:name="_Toc14985"/>
      <w:r>
        <w:rPr>
          <w:rFonts w:hint="eastAsia" w:ascii="黑体" w:hAnsi="黑体" w:eastAsia="黑体" w:cs="黑体"/>
          <w:b w:val="0"/>
          <w:bCs w:val="0"/>
          <w:snapToGrid/>
          <w:color w:val="auto"/>
          <w:kern w:val="2"/>
          <w:highlight w:val="none"/>
          <w:u w:val="none"/>
          <w:lang w:val="en-US" w:eastAsia="zh-CN"/>
        </w:rPr>
        <w:t>附件</w:t>
      </w:r>
      <w:r>
        <w:rPr>
          <w:rFonts w:hint="eastAsia" w:ascii="Times New Roman" w:hAnsi="Times New Roman" w:eastAsia="黑体" w:cs="黑体"/>
          <w:b w:val="0"/>
          <w:bCs w:val="0"/>
          <w:snapToGrid/>
          <w:color w:val="auto"/>
          <w:kern w:val="2"/>
          <w:highlight w:val="none"/>
          <w:u w:val="none"/>
          <w:lang w:val="en-US" w:eastAsia="zh-CN"/>
        </w:rPr>
        <w:t>3</w:t>
      </w:r>
      <w:bookmarkEnd w:id="345"/>
    </w:p>
    <w:p>
      <w:pPr>
        <w:pStyle w:val="8"/>
        <w:spacing w:line="600" w:lineRule="exact"/>
        <w:ind w:left="0" w:leftChars="0" w:firstLine="0" w:firstLineChars="0"/>
        <w:jc w:val="center"/>
        <w:outlineLvl w:val="2"/>
        <w:rPr>
          <w:rFonts w:hint="eastAsia" w:ascii="方正小标宋简体" w:hAnsi="方正小标宋简体" w:eastAsia="方正小标宋简体" w:cs="方正小标宋简体"/>
          <w:snapToGrid/>
          <w:color w:val="auto"/>
          <w:kern w:val="2"/>
          <w:sz w:val="44"/>
          <w:szCs w:val="44"/>
          <w:highlight w:val="none"/>
        </w:rPr>
      </w:pPr>
      <w:r>
        <w:rPr>
          <w:rFonts w:hint="eastAsia" w:ascii="方正小标宋简体" w:hAnsi="方正小标宋简体" w:eastAsia="方正小标宋简体" w:cs="方正小标宋简体"/>
          <w:snapToGrid/>
          <w:color w:val="auto"/>
          <w:kern w:val="2"/>
          <w:sz w:val="44"/>
          <w:szCs w:val="44"/>
          <w:highlight w:val="none"/>
          <w:u w:val="single"/>
        </w:rPr>
        <w:t xml:space="preserve">             </w:t>
      </w:r>
      <w:bookmarkStart w:id="346" w:name="_Toc26395"/>
      <w:r>
        <w:rPr>
          <w:rFonts w:hint="eastAsia" w:ascii="方正小标宋简体" w:hAnsi="方正小标宋简体" w:eastAsia="方正小标宋简体" w:cs="方正小标宋简体"/>
          <w:snapToGrid/>
          <w:color w:val="auto"/>
          <w:kern w:val="2"/>
          <w:sz w:val="44"/>
          <w:szCs w:val="44"/>
          <w:highlight w:val="none"/>
        </w:rPr>
        <w:t>火灾扑救任务清单</w:t>
      </w:r>
      <w:bookmarkEnd w:id="346"/>
    </w:p>
    <w:tbl>
      <w:tblPr>
        <w:tblStyle w:val="16"/>
        <w:tblW w:w="15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3"/>
        <w:gridCol w:w="1855"/>
        <w:gridCol w:w="417"/>
        <w:gridCol w:w="617"/>
        <w:gridCol w:w="725"/>
        <w:gridCol w:w="834"/>
        <w:gridCol w:w="106"/>
        <w:gridCol w:w="1146"/>
        <w:gridCol w:w="1039"/>
        <w:gridCol w:w="1151"/>
        <w:gridCol w:w="118"/>
        <w:gridCol w:w="1376"/>
        <w:gridCol w:w="404"/>
        <w:gridCol w:w="826"/>
        <w:gridCol w:w="1271"/>
        <w:gridCol w:w="1271"/>
        <w:gridCol w:w="988"/>
        <w:gridCol w:w="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restart"/>
            <w:tcBorders>
              <w:top w:val="double" w:color="auto" w:sz="4" w:space="0"/>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指挥机构</w:t>
            </w:r>
          </w:p>
        </w:tc>
        <w:tc>
          <w:tcPr>
            <w:tcW w:w="2272" w:type="dxa"/>
            <w:gridSpan w:val="2"/>
            <w:tcBorders>
              <w:top w:val="doub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总 指 挥</w:t>
            </w:r>
          </w:p>
        </w:tc>
        <w:tc>
          <w:tcPr>
            <w:tcW w:w="11872" w:type="dxa"/>
            <w:gridSpan w:val="14"/>
            <w:tcBorders>
              <w:top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扑火指挥员</w:t>
            </w:r>
          </w:p>
        </w:tc>
        <w:tc>
          <w:tcPr>
            <w:tcW w:w="11872" w:type="dxa"/>
            <w:gridSpan w:val="1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left w:val="double" w:color="auto" w:sz="4" w:space="0"/>
              <w:bottom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属地领导</w:t>
            </w:r>
          </w:p>
        </w:tc>
        <w:tc>
          <w:tcPr>
            <w:tcW w:w="11872" w:type="dxa"/>
            <w:gridSpan w:val="14"/>
            <w:tcBorders>
              <w:bottom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left w:val="double" w:color="auto" w:sz="4" w:space="0"/>
              <w:bottom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上级工作组</w:t>
            </w:r>
          </w:p>
        </w:tc>
        <w:tc>
          <w:tcPr>
            <w:tcW w:w="11872" w:type="dxa"/>
            <w:gridSpan w:val="14"/>
            <w:tcBorders>
              <w:bottom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top w:val="doub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组 别</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组成单位</w:t>
            </w: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职责</w:t>
            </w: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设置地点</w:t>
            </w: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工作人员及任务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综合协调组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火灾扑救组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治安疏散组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后勤保障组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医疗救护组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信息发布组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22" w:hRule="exact"/>
          <w:jc w:val="center"/>
        </w:trPr>
        <w:tc>
          <w:tcPr>
            <w:tcW w:w="695" w:type="dxa"/>
            <w:gridSpan w:val="2"/>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2272" w:type="dxa"/>
            <w:gridSpan w:val="2"/>
            <w:tcBorders>
              <w:top w:val="sing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后方值守组</w:t>
            </w:r>
          </w:p>
        </w:tc>
        <w:tc>
          <w:tcPr>
            <w:tcW w:w="2282" w:type="dxa"/>
            <w:gridSpan w:val="4"/>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4" w:type="dxa"/>
          <w:trHeight w:val="653" w:hRule="exact"/>
          <w:jc w:val="center"/>
        </w:trPr>
        <w:tc>
          <w:tcPr>
            <w:tcW w:w="695" w:type="dxa"/>
            <w:gridSpan w:val="2"/>
            <w:vMerge w:val="continue"/>
            <w:tcBorders>
              <w:left w:val="double" w:color="auto" w:sz="4" w:space="0"/>
              <w:bottom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2272" w:type="dxa"/>
            <w:gridSpan w:val="2"/>
            <w:tcBorders>
              <w:top w:val="single" w:color="auto" w:sz="4" w:space="0"/>
              <w:left w:val="double" w:color="auto" w:sz="4" w:space="0"/>
              <w:bottom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r>
              <w:rPr>
                <w:rFonts w:hint="eastAsia" w:ascii="黑体" w:hAnsi="黑体" w:eastAsia="黑体" w:cs="黑体"/>
                <w:snapToGrid/>
                <w:color w:val="auto"/>
                <w:kern w:val="2"/>
                <w:sz w:val="24"/>
                <w:szCs w:val="24"/>
                <w:highlight w:val="none"/>
              </w:rPr>
              <w:t>跨区保障专班</w:t>
            </w:r>
          </w:p>
        </w:tc>
        <w:tc>
          <w:tcPr>
            <w:tcW w:w="2282" w:type="dxa"/>
            <w:gridSpan w:val="4"/>
            <w:tcBorders>
              <w:bottom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3336" w:type="dxa"/>
            <w:gridSpan w:val="3"/>
            <w:tcBorders>
              <w:bottom w:val="double" w:color="auto" w:sz="4" w:space="0"/>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1898" w:type="dxa"/>
            <w:gridSpan w:val="3"/>
            <w:tcBorders>
              <w:left w:val="single" w:color="auto" w:sz="4" w:space="0"/>
              <w:bottom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c>
          <w:tcPr>
            <w:tcW w:w="4356" w:type="dxa"/>
            <w:gridSpan w:val="4"/>
            <w:tcBorders>
              <w:bottom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eastAsia" w:ascii="黑体" w:hAnsi="黑体" w:eastAsia="黑体" w:cs="黑体"/>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exact"/>
          <w:jc w:val="center"/>
        </w:trPr>
        <w:tc>
          <w:tcPr>
            <w:tcW w:w="642" w:type="dxa"/>
            <w:vMerge w:val="restart"/>
            <w:tcBorders>
              <w:top w:val="double" w:color="auto" w:sz="4" w:space="0"/>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扑火力量编成</w:t>
            </w:r>
          </w:p>
        </w:tc>
        <w:tc>
          <w:tcPr>
            <w:tcW w:w="1908" w:type="dxa"/>
            <w:gridSpan w:val="2"/>
            <w:tcBorders>
              <w:top w:val="double" w:color="auto" w:sz="4" w:space="0"/>
              <w:lef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队别</w:t>
            </w:r>
          </w:p>
        </w:tc>
        <w:tc>
          <w:tcPr>
            <w:tcW w:w="1034" w:type="dxa"/>
            <w:gridSpan w:val="2"/>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队长</w:t>
            </w:r>
          </w:p>
        </w:tc>
        <w:tc>
          <w:tcPr>
            <w:tcW w:w="725" w:type="dxa"/>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人数</w:t>
            </w:r>
          </w:p>
        </w:tc>
        <w:tc>
          <w:tcPr>
            <w:tcW w:w="834" w:type="dxa"/>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装备</w:t>
            </w:r>
          </w:p>
        </w:tc>
        <w:tc>
          <w:tcPr>
            <w:tcW w:w="1252" w:type="dxa"/>
            <w:gridSpan w:val="2"/>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配合力量</w:t>
            </w:r>
          </w:p>
        </w:tc>
        <w:tc>
          <w:tcPr>
            <w:tcW w:w="1039" w:type="dxa"/>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工具</w:t>
            </w:r>
          </w:p>
        </w:tc>
        <w:tc>
          <w:tcPr>
            <w:tcW w:w="1269" w:type="dxa"/>
            <w:gridSpan w:val="2"/>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后勤保障</w:t>
            </w:r>
          </w:p>
        </w:tc>
        <w:tc>
          <w:tcPr>
            <w:tcW w:w="1376" w:type="dxa"/>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任务区域</w:t>
            </w:r>
          </w:p>
        </w:tc>
        <w:tc>
          <w:tcPr>
            <w:tcW w:w="1230" w:type="dxa"/>
            <w:gridSpan w:val="2"/>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扑救任务</w:t>
            </w:r>
          </w:p>
        </w:tc>
        <w:tc>
          <w:tcPr>
            <w:tcW w:w="1271" w:type="dxa"/>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扑救方法</w:t>
            </w:r>
          </w:p>
        </w:tc>
        <w:tc>
          <w:tcPr>
            <w:tcW w:w="1271" w:type="dxa"/>
            <w:tcBorders>
              <w:top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进展情况</w:t>
            </w:r>
          </w:p>
        </w:tc>
        <w:tc>
          <w:tcPr>
            <w:tcW w:w="1232" w:type="dxa"/>
            <w:gridSpan w:val="2"/>
            <w:tcBorders>
              <w:top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申报需求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both"/>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u w:val="single"/>
              </w:rPr>
              <w:t xml:space="preserve">           </w:t>
            </w:r>
            <w:r>
              <w:rPr>
                <w:rFonts w:hint="eastAsia" w:ascii="黑体" w:hAnsi="黑体" w:eastAsia="黑体" w:cs="黑体"/>
                <w:b w:val="0"/>
                <w:bCs/>
                <w:snapToGrid/>
                <w:color w:val="auto"/>
                <w:kern w:val="2"/>
                <w:sz w:val="24"/>
                <w:szCs w:val="24"/>
                <w:highlight w:val="none"/>
              </w:rPr>
              <w:t>镇</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both"/>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u w:val="single"/>
              </w:rPr>
              <w:t xml:space="preserve">           </w:t>
            </w:r>
            <w:r>
              <w:rPr>
                <w:rFonts w:hint="eastAsia" w:ascii="黑体" w:hAnsi="黑体" w:eastAsia="黑体" w:cs="黑体"/>
                <w:b w:val="0"/>
                <w:bCs/>
                <w:snapToGrid/>
                <w:color w:val="auto"/>
                <w:kern w:val="2"/>
                <w:sz w:val="24"/>
                <w:szCs w:val="24"/>
                <w:highlight w:val="none"/>
              </w:rPr>
              <w:t>区</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lang w:eastAsia="zh-CN"/>
              </w:rPr>
            </w:pPr>
            <w:r>
              <w:rPr>
                <w:rFonts w:hint="eastAsia" w:ascii="黑体" w:hAnsi="黑体" w:eastAsia="黑体" w:cs="黑体"/>
                <w:b w:val="0"/>
                <w:bCs/>
                <w:snapToGrid/>
                <w:color w:val="auto"/>
                <w:kern w:val="2"/>
                <w:sz w:val="24"/>
                <w:szCs w:val="24"/>
                <w:highlight w:val="none"/>
                <w:lang w:eastAsia="zh-CN"/>
              </w:rPr>
              <w:t>隔离带开设队</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航空消防</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预备一队</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bottom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预备二队</w:t>
            </w:r>
          </w:p>
        </w:tc>
        <w:tc>
          <w:tcPr>
            <w:tcW w:w="1034" w:type="dxa"/>
            <w:gridSpan w:val="2"/>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bottom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bottom w:val="doub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restart"/>
            <w:tcBorders>
              <w:top w:val="double" w:color="auto" w:sz="4" w:space="0"/>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转移安置</w:t>
            </w:r>
          </w:p>
        </w:tc>
        <w:tc>
          <w:tcPr>
            <w:tcW w:w="1908" w:type="dxa"/>
            <w:gridSpan w:val="2"/>
            <w:tcBorders>
              <w:top w:val="double" w:color="auto" w:sz="4" w:space="0"/>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u w:val="single"/>
              </w:rPr>
              <w:t xml:space="preserve">     </w:t>
            </w:r>
            <w:r>
              <w:rPr>
                <w:rFonts w:hint="eastAsia" w:ascii="黑体" w:hAnsi="黑体" w:eastAsia="黑体" w:cs="黑体"/>
                <w:b w:val="0"/>
                <w:bCs/>
                <w:snapToGrid/>
                <w:color w:val="auto"/>
                <w:kern w:val="2"/>
                <w:sz w:val="24"/>
                <w:szCs w:val="24"/>
                <w:highlight w:val="none"/>
              </w:rPr>
              <w:t>片安置组</w:t>
            </w:r>
          </w:p>
        </w:tc>
        <w:tc>
          <w:tcPr>
            <w:tcW w:w="1034"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top w:val="doub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top w:val="single" w:color="auto" w:sz="4" w:space="0"/>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u w:val="single"/>
              </w:rPr>
              <w:t xml:space="preserve">     </w:t>
            </w:r>
            <w:r>
              <w:rPr>
                <w:rFonts w:hint="eastAsia" w:ascii="黑体" w:hAnsi="黑体" w:eastAsia="黑体" w:cs="黑体"/>
                <w:b w:val="0"/>
                <w:bCs/>
                <w:snapToGrid/>
                <w:color w:val="auto"/>
                <w:kern w:val="2"/>
                <w:sz w:val="24"/>
                <w:szCs w:val="24"/>
                <w:highlight w:val="none"/>
              </w:rPr>
              <w:t>片安置组</w:t>
            </w:r>
          </w:p>
        </w:tc>
        <w:tc>
          <w:tcPr>
            <w:tcW w:w="1034"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top w:val="sing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top w:val="single" w:color="auto" w:sz="4" w:space="0"/>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u w:val="single"/>
              </w:rPr>
              <w:t xml:space="preserve"> </w:t>
            </w:r>
            <w:r>
              <w:rPr>
                <w:rFonts w:hint="eastAsia" w:ascii="黑体" w:hAnsi="黑体" w:eastAsia="黑体" w:cs="黑体"/>
                <w:b w:val="0"/>
                <w:bCs/>
                <w:snapToGrid/>
                <w:color w:val="auto"/>
                <w:kern w:val="2"/>
                <w:sz w:val="24"/>
                <w:szCs w:val="24"/>
                <w:highlight w:val="none"/>
                <w:u w:val="single"/>
                <w:lang w:val="en-US" w:eastAsia="zh-CN"/>
              </w:rPr>
              <w:t xml:space="preserve"> </w:t>
            </w:r>
            <w:r>
              <w:rPr>
                <w:rFonts w:hint="eastAsia" w:ascii="黑体" w:hAnsi="黑体" w:eastAsia="黑体" w:cs="黑体"/>
                <w:b w:val="0"/>
                <w:bCs/>
                <w:snapToGrid/>
                <w:color w:val="auto"/>
                <w:kern w:val="2"/>
                <w:sz w:val="24"/>
                <w:szCs w:val="24"/>
                <w:highlight w:val="none"/>
                <w:u w:val="single"/>
              </w:rPr>
              <w:t xml:space="preserve">   </w:t>
            </w:r>
            <w:r>
              <w:rPr>
                <w:rFonts w:hint="eastAsia" w:ascii="黑体" w:hAnsi="黑体" w:eastAsia="黑体" w:cs="黑体"/>
                <w:b w:val="0"/>
                <w:bCs/>
                <w:snapToGrid/>
                <w:color w:val="auto"/>
                <w:kern w:val="2"/>
                <w:sz w:val="24"/>
                <w:szCs w:val="24"/>
                <w:highlight w:val="none"/>
              </w:rPr>
              <w:t>片安置组</w:t>
            </w:r>
          </w:p>
        </w:tc>
        <w:tc>
          <w:tcPr>
            <w:tcW w:w="1034"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top w:val="sing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bottom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908" w:type="dxa"/>
            <w:gridSpan w:val="2"/>
            <w:tcBorders>
              <w:top w:val="single" w:color="auto" w:sz="4" w:space="0"/>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4"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sing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top w:val="sing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restart"/>
            <w:tcBorders>
              <w:top w:val="double" w:color="auto" w:sz="4" w:space="0"/>
              <w:left w:val="double" w:color="auto" w:sz="4" w:space="0"/>
              <w:right w:val="doub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清理看守</w:t>
            </w:r>
          </w:p>
        </w:tc>
        <w:tc>
          <w:tcPr>
            <w:tcW w:w="1908" w:type="dxa"/>
            <w:gridSpan w:val="2"/>
            <w:tcBorders>
              <w:top w:val="double" w:color="auto" w:sz="4" w:space="0"/>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清理看守1队</w:t>
            </w:r>
          </w:p>
        </w:tc>
        <w:tc>
          <w:tcPr>
            <w:tcW w:w="1034"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Borders>
              <w:top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top w:val="doub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清理看守2队</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清理看守3队</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642" w:type="dxa"/>
            <w:vMerge w:val="continue"/>
            <w:tcBorders>
              <w:left w:val="double" w:color="auto" w:sz="4" w:space="0"/>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textAlignment w:val="auto"/>
              <w:rPr>
                <w:rFonts w:hint="eastAsia" w:ascii="黑体" w:hAnsi="黑体" w:eastAsia="黑体" w:cs="黑体"/>
                <w:b w:val="0"/>
                <w:bCs/>
                <w:snapToGrid/>
                <w:color w:val="auto"/>
                <w:kern w:val="2"/>
                <w:sz w:val="24"/>
                <w:szCs w:val="24"/>
                <w:highlight w:val="none"/>
              </w:rPr>
            </w:pPr>
          </w:p>
        </w:tc>
        <w:tc>
          <w:tcPr>
            <w:tcW w:w="1908" w:type="dxa"/>
            <w:gridSpan w:val="2"/>
            <w:tcBorders>
              <w:lef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r>
              <w:rPr>
                <w:rFonts w:hint="eastAsia" w:ascii="黑体" w:hAnsi="黑体" w:eastAsia="黑体" w:cs="黑体"/>
                <w:b w:val="0"/>
                <w:bCs/>
                <w:snapToGrid/>
                <w:color w:val="auto"/>
                <w:kern w:val="2"/>
                <w:sz w:val="24"/>
                <w:szCs w:val="24"/>
                <w:highlight w:val="none"/>
              </w:rPr>
              <w:t>清理看守4队</w:t>
            </w:r>
          </w:p>
        </w:tc>
        <w:tc>
          <w:tcPr>
            <w:tcW w:w="1034"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725"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834"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52"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039"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69"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376"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0" w:type="dxa"/>
            <w:gridSpan w:val="2"/>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71" w:type="dxa"/>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c>
          <w:tcPr>
            <w:tcW w:w="1232" w:type="dxa"/>
            <w:gridSpan w:val="2"/>
            <w:tcBorders>
              <w:right w:val="double" w:color="auto" w:sz="4" w:space="0"/>
            </w:tcBorders>
          </w:tcPr>
          <w:p>
            <w:pPr>
              <w:pStyle w:val="8"/>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黑体" w:hAnsi="黑体" w:eastAsia="黑体" w:cs="黑体"/>
                <w:b w:val="0"/>
                <w:bCs/>
                <w:snapToGrid/>
                <w:color w:val="auto"/>
                <w:kern w:val="2"/>
                <w:sz w:val="24"/>
                <w:szCs w:val="24"/>
                <w:highlight w:val="none"/>
              </w:rPr>
            </w:pPr>
          </w:p>
        </w:tc>
      </w:tr>
    </w:tbl>
    <w:p>
      <w:pPr>
        <w:pStyle w:val="8"/>
        <w:spacing w:line="600" w:lineRule="exact"/>
        <w:ind w:firstLine="0"/>
        <w:rPr>
          <w:snapToGrid/>
          <w:color w:val="auto"/>
          <w:kern w:val="2"/>
          <w:highlight w:val="none"/>
        </w:rPr>
        <w:sectPr>
          <w:footerReference r:id="rId7" w:type="default"/>
          <w:footerReference r:id="rId8" w:type="even"/>
          <w:pgSz w:w="16838" w:h="11905" w:orient="landscape"/>
          <w:pgMar w:top="1134" w:right="1134" w:bottom="1134" w:left="1134" w:header="851" w:footer="850" w:gutter="0"/>
          <w:pgNumType w:fmt="decimal"/>
          <w:cols w:space="0" w:num="1"/>
          <w:rtlGutter w:val="0"/>
          <w:docGrid w:type="linesAndChars" w:linePitch="438" w:charSpace="773"/>
        </w:sect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eastAsia="仿宋_GB2312"/>
          <w:snapToGrid/>
          <w:color w:val="auto"/>
          <w:kern w:val="2"/>
          <w:highlight w:val="none"/>
          <w:lang w:eastAsia="zh-CN"/>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snapToGrid/>
          <w:color w:val="auto"/>
          <w:kern w:val="2"/>
          <w:highlight w:val="none"/>
        </w:rPr>
      </w:pPr>
    </w:p>
    <w:p>
      <w:pPr>
        <w:pStyle w:val="8"/>
        <w:keepNext w:val="0"/>
        <w:keepLines w:val="0"/>
        <w:pageBreakBefore w:val="0"/>
        <w:widowControl w:val="0"/>
        <w:tabs>
          <w:tab w:val="left" w:pos="1300"/>
        </w:tabs>
        <w:kinsoku/>
        <w:wordWrap/>
        <w:overflowPunct/>
        <w:topLinePunct w:val="0"/>
        <w:autoSpaceDE/>
        <w:autoSpaceDN/>
        <w:bidi w:val="0"/>
        <w:adjustRightInd/>
        <w:snapToGrid/>
        <w:spacing w:line="570" w:lineRule="exact"/>
        <w:ind w:firstLine="0"/>
        <w:textAlignment w:val="auto"/>
        <w:rPr>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sectPr>
          <w:footerReference r:id="rId9" w:type="default"/>
          <w:footerReference r:id="rId10" w:type="even"/>
          <w:pgSz w:w="11905" w:h="16838"/>
          <w:pgMar w:top="2098" w:right="1474" w:bottom="1984" w:left="1587" w:header="851" w:footer="1757" w:gutter="0"/>
          <w:pgNumType w:fmt="decimal"/>
          <w:cols w:space="0" w:num="1"/>
          <w:rtlGutter w:val="0"/>
          <w:docGrid w:type="linesAndChars" w:linePitch="579" w:charSpace="-849"/>
        </w:sect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570" w:lineRule="exact"/>
        <w:ind w:firstLine="0"/>
        <w:textAlignment w:val="auto"/>
        <w:rPr>
          <w:rFonts w:hint="eastAsia" w:ascii="黑体" w:hAnsi="黑体" w:eastAsia="黑体" w:cs="黑体"/>
          <w:snapToGrid/>
          <w:color w:val="auto"/>
          <w:kern w:val="2"/>
          <w:highlight w:val="none"/>
        </w:rPr>
      </w:pPr>
    </w:p>
    <w:p>
      <w:pPr>
        <w:pStyle w:val="8"/>
        <w:keepNext w:val="0"/>
        <w:keepLines w:val="0"/>
        <w:pageBreakBefore w:val="0"/>
        <w:widowControl w:val="0"/>
        <w:kinsoku/>
        <w:wordWrap/>
        <w:overflowPunct/>
        <w:topLinePunct w:val="0"/>
        <w:autoSpaceDE/>
        <w:autoSpaceDN/>
        <w:bidi w:val="0"/>
        <w:adjustRightInd/>
        <w:snapToGrid/>
        <w:spacing w:line="750" w:lineRule="exact"/>
        <w:ind w:firstLine="0"/>
        <w:textAlignment w:val="auto"/>
        <w:rPr>
          <w:rFonts w:hint="eastAsia" w:ascii="黑体" w:hAnsi="黑体" w:eastAsia="黑体" w:cs="黑体"/>
          <w:snapToGrid/>
          <w:color w:val="auto"/>
          <w:kern w:val="2"/>
          <w:highlight w:val="none"/>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公开方式：</w:t>
      </w:r>
      <w:r>
        <w:rPr>
          <w:rFonts w:hint="default" w:ascii="Times New Roman" w:hAnsi="Times New Roman" w:eastAsia="仿宋_GB2312" w:cs="Times New Roman"/>
          <w:sz w:val="32"/>
          <w:szCs w:val="32"/>
          <w:lang w:val="en-US" w:eastAsia="zh-CN"/>
        </w:rPr>
        <w:t>主动</w:t>
      </w:r>
      <w:r>
        <w:rPr>
          <w:rFonts w:hint="default" w:ascii="Times New Roman" w:hAnsi="Times New Roman" w:eastAsia="仿宋_GB2312" w:cs="Times New Roman"/>
          <w:sz w:val="32"/>
          <w:szCs w:val="32"/>
          <w:lang w:eastAsia="zh-CN"/>
        </w:rPr>
        <w:t>公开</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仿宋_GB2312" w:cs="Times New Roman"/>
          <w:sz w:val="32"/>
          <w:szCs w:val="32"/>
          <w:lang w:eastAsia="zh-CN"/>
        </w:rPr>
      </w:pPr>
    </w:p>
    <w:p>
      <w:pPr>
        <w:pStyle w:val="6"/>
        <w:keepNext w:val="0"/>
        <w:keepLines w:val="0"/>
        <w:pageBreakBefore w:val="0"/>
        <w:widowControl w:val="0"/>
        <w:kinsoku/>
        <w:wordWrap/>
        <w:overflowPunct/>
        <w:topLinePunct w:val="0"/>
        <w:autoSpaceDE/>
        <w:autoSpaceDN/>
        <w:bidi w:val="0"/>
        <w:adjustRightInd w:val="0"/>
        <w:snapToGrid/>
        <w:spacing w:before="0" w:beforeAutospacing="0" w:line="240" w:lineRule="auto"/>
        <w:ind w:left="1210" w:leftChars="121" w:right="221" w:rightChars="70" w:hanging="828" w:hangingChars="300"/>
        <w:textAlignment w:val="baseline"/>
        <w:rPr>
          <w:rFonts w:hint="eastAsia" w:eastAsia="仿宋_GB2312"/>
          <w:snapToGrid/>
          <w:color w:val="auto"/>
          <w:kern w:val="2"/>
          <w:highlight w:val="none"/>
          <w:lang w:val="en-US" w:eastAsia="zh-CN"/>
        </w:rPr>
      </w:pPr>
      <w:r>
        <w:rPr>
          <w:rFonts w:hint="eastAsia" w:ascii="仿宋_GB2312" w:hAnsi="仿宋_GB2312" w:eastAsia="仿宋_GB2312" w:cs="仿宋_GB2312"/>
          <w:color w:val="auto"/>
          <w:sz w:val="28"/>
          <w:szCs w:val="28"/>
          <w:lang w:eastAsia="zh-CN"/>
        </w:rPr>
        <w:t>抄送：区委、</w:t>
      </w:r>
      <w:r>
        <w:rPr>
          <w:rFonts w:hint="eastAsia" w:ascii="仿宋_GB2312" w:hAnsi="仿宋_GB2312" w:eastAsia="仿宋_GB2312" w:cs="仿宋_GB2312"/>
          <w:color w:val="auto"/>
          <w:sz w:val="28"/>
          <w:szCs w:val="28"/>
          <w:lang w:val="en-US" w:eastAsia="zh-CN"/>
        </w:rPr>
        <w:t>开发区党工委、区人大、区政府、开发区管委会、区政协领导同志及开发区管委会、区纪委监委负责同志，区委</w:t>
      </w:r>
      <w:r>
        <w:rPr>
          <w:rFonts w:hint="eastAsia" w:ascii="仿宋_GB2312" w:hAnsi="仿宋_GB2312" w:eastAsia="仿宋_GB2312" w:cs="仿宋_GB2312"/>
          <w:color w:val="auto"/>
          <w:sz w:val="28"/>
          <w:szCs w:val="28"/>
          <w:lang w:eastAsia="zh-CN"/>
        </w:rPr>
        <w:t>各</w:t>
      </w:r>
      <w:r>
        <w:rPr>
          <w:rFonts w:hint="eastAsia" w:ascii="仿宋_GB2312" w:hAnsi="仿宋_GB2312" w:eastAsia="仿宋_GB2312" w:cs="仿宋_GB2312"/>
          <w:color w:val="auto"/>
          <w:sz w:val="28"/>
          <w:szCs w:val="28"/>
          <w:lang w:val="en-US" w:eastAsia="zh-CN"/>
        </w:rPr>
        <w:t>部</w:t>
      </w:r>
      <w:r>
        <w:rPr>
          <w:rFonts w:hint="eastAsia" w:ascii="仿宋_GB2312" w:hAnsi="仿宋_GB2312" w:eastAsia="仿宋_GB2312" w:cs="仿宋_GB2312"/>
          <w:color w:val="auto"/>
          <w:sz w:val="28"/>
          <w:szCs w:val="28"/>
          <w:lang w:eastAsia="zh-CN"/>
        </w:rPr>
        <w:t>委办，区人大办，</w:t>
      </w:r>
      <w:r>
        <w:rPr>
          <w:rFonts w:hint="eastAsia" w:ascii="仿宋_GB2312" w:hAnsi="仿宋_GB2312" w:eastAsia="仿宋_GB2312" w:cs="仿宋_GB2312"/>
          <w:color w:val="auto"/>
          <w:sz w:val="28"/>
          <w:szCs w:val="28"/>
          <w:lang w:val="en-US" w:eastAsia="zh-CN"/>
        </w:rPr>
        <w:t>区</w:t>
      </w:r>
      <w:r>
        <w:rPr>
          <w:rFonts w:hint="eastAsia" w:ascii="仿宋_GB2312" w:hAnsi="仿宋_GB2312" w:eastAsia="仿宋_GB2312" w:cs="仿宋_GB2312"/>
          <w:color w:val="auto"/>
          <w:sz w:val="28"/>
          <w:szCs w:val="28"/>
          <w:lang w:eastAsia="zh-CN"/>
        </w:rPr>
        <w:t>政协办，</w:t>
      </w:r>
      <w:r>
        <w:rPr>
          <w:rFonts w:hint="eastAsia" w:ascii="仿宋_GB2312" w:hAnsi="仿宋_GB2312" w:eastAsia="仿宋_GB2312" w:cs="仿宋_GB2312"/>
          <w:color w:val="auto"/>
          <w:sz w:val="28"/>
          <w:szCs w:val="28"/>
          <w:lang w:val="en-US" w:eastAsia="zh-CN"/>
        </w:rPr>
        <w:t>区人武部，区法院，区检察院，</w:t>
      </w:r>
      <w:r>
        <w:rPr>
          <w:rFonts w:hint="eastAsia" w:ascii="仿宋_GB2312" w:hAnsi="仿宋_GB2312" w:eastAsia="仿宋_GB2312" w:cs="仿宋_GB2312"/>
          <w:color w:val="auto"/>
          <w:sz w:val="28"/>
          <w:szCs w:val="28"/>
          <w:lang w:eastAsia="zh-CN"/>
        </w:rPr>
        <w:t>各人民团体。</w:t>
      </w:r>
    </w:p>
    <w:sectPr>
      <w:footerReference r:id="rId11" w:type="default"/>
      <w:footerReference r:id="rId12" w:type="even"/>
      <w:pgSz w:w="11905" w:h="16838"/>
      <w:pgMar w:top="2098" w:right="1474" w:bottom="1984" w:left="1587" w:header="851" w:footer="1757" w:gutter="0"/>
      <w:pgNumType w:fmt="decimal"/>
      <w:cols w:space="0" w:num="1"/>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sz w:val="18"/>
      </w:rPr>
      <mc:AlternateContent>
        <mc:Choice Requires="wps">
          <w:drawing>
            <wp:anchor distT="0" distB="0" distL="114300" distR="114300" simplePos="0" relativeHeight="251660288" behindDoc="0" locked="0" layoutInCell="1" allowOverlap="1">
              <wp:simplePos x="0" y="0"/>
              <wp:positionH relativeFrom="margin">
                <wp:posOffset>4788535</wp:posOffset>
              </wp:positionH>
              <wp:positionV relativeFrom="paragraph">
                <wp:posOffset>-12065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7</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7.05pt;margin-top:-0.95pt;height:144pt;width:144pt;mso-position-horizontal-relative:margin;mso-wrap-style:none;z-index:251660288;mso-width-relative:page;mso-height-relative:page;" filled="f" stroked="f" coordsize="21600,21600" o:gfxdata="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JBH5tgAAAAL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7</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sz w:val="18"/>
      </w:rPr>
      <mc:AlternateContent>
        <mc:Choice Requires="wps">
          <w:drawing>
            <wp:anchor distT="0" distB="0" distL="114300" distR="114300" simplePos="0" relativeHeight="251661312" behindDoc="0" locked="0" layoutInCell="1" allowOverlap="1">
              <wp:simplePos x="0" y="0"/>
              <wp:positionH relativeFrom="margin">
                <wp:posOffset>243840</wp:posOffset>
              </wp:positionH>
              <wp:positionV relativeFrom="paragraph">
                <wp:posOffset>-23495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8</w:t>
                          </w:r>
                          <w:r>
                            <w:rPr>
                              <w:rFonts w:hint="default" w:ascii="Times New Roman" w:hAnsi="Times New Roman" w:eastAsia="宋体" w:cs="Times New Roman"/>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pt;margin-top:-1.85pt;height:144pt;width:144pt;mso-position-horizontal-relative:margin;mso-wrap-style:none;z-index:251661312;mso-width-relative:page;mso-height-relative:page;" filled="f" stroked="f" coordsize="21600,21600" o:gfxdata="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6af9i1wAAAAkBAAAPAAAAAAAAAAEAIAAAACIAAABkcnMvZG93bnJldi54bWxQ&#10;SwECFAAUAAAACACHTuJAJIJGtDECAABhBAAADgAAAAAAAAABACAAAAAmAQAAZHJzL2Uyb0RvYy54&#10;bWxQSwUGAAAAAAYABgBZAQAAyQU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8</w:t>
                    </w:r>
                    <w:r>
                      <w:rPr>
                        <w:rFonts w:hint="default" w:ascii="Times New Roman" w:hAnsi="Times New Roman" w:eastAsia="宋体" w:cs="Times New Roman"/>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6</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6</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6</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6</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40</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evenAndOddHeaders w:val="1"/>
  <w:drawingGridHorizontalSpacing w:val="162"/>
  <w:drawingGridVerticalSpacing w:val="219"/>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AE8"/>
    <w:rsid w:val="00006F58"/>
    <w:rsid w:val="000073DC"/>
    <w:rsid w:val="000121D1"/>
    <w:rsid w:val="00012CBD"/>
    <w:rsid w:val="00024746"/>
    <w:rsid w:val="00026F98"/>
    <w:rsid w:val="00035586"/>
    <w:rsid w:val="00036DBC"/>
    <w:rsid w:val="00044EEF"/>
    <w:rsid w:val="0004588B"/>
    <w:rsid w:val="000474E6"/>
    <w:rsid w:val="00052CA8"/>
    <w:rsid w:val="0005672B"/>
    <w:rsid w:val="00061BCA"/>
    <w:rsid w:val="000624AA"/>
    <w:rsid w:val="0006316F"/>
    <w:rsid w:val="0006508B"/>
    <w:rsid w:val="000654ED"/>
    <w:rsid w:val="00067D87"/>
    <w:rsid w:val="000718D8"/>
    <w:rsid w:val="00077AF9"/>
    <w:rsid w:val="00083FFE"/>
    <w:rsid w:val="000960B5"/>
    <w:rsid w:val="00096878"/>
    <w:rsid w:val="000B5C9E"/>
    <w:rsid w:val="000C4D94"/>
    <w:rsid w:val="000C6B2E"/>
    <w:rsid w:val="000D0902"/>
    <w:rsid w:val="000D0AC7"/>
    <w:rsid w:val="000D0C75"/>
    <w:rsid w:val="000D21BC"/>
    <w:rsid w:val="000D29CC"/>
    <w:rsid w:val="000D5274"/>
    <w:rsid w:val="000D61C6"/>
    <w:rsid w:val="000E2B73"/>
    <w:rsid w:val="000E408F"/>
    <w:rsid w:val="000E64A0"/>
    <w:rsid w:val="000F4A13"/>
    <w:rsid w:val="00100052"/>
    <w:rsid w:val="001025D4"/>
    <w:rsid w:val="0010439B"/>
    <w:rsid w:val="00107337"/>
    <w:rsid w:val="001146FF"/>
    <w:rsid w:val="00114729"/>
    <w:rsid w:val="00116C64"/>
    <w:rsid w:val="00116F1D"/>
    <w:rsid w:val="00117972"/>
    <w:rsid w:val="0012049E"/>
    <w:rsid w:val="001329B3"/>
    <w:rsid w:val="00132FCC"/>
    <w:rsid w:val="00141FD1"/>
    <w:rsid w:val="00145F17"/>
    <w:rsid w:val="00152BBC"/>
    <w:rsid w:val="001608CA"/>
    <w:rsid w:val="0016398B"/>
    <w:rsid w:val="0016600D"/>
    <w:rsid w:val="001705F1"/>
    <w:rsid w:val="0018741C"/>
    <w:rsid w:val="00191137"/>
    <w:rsid w:val="001C050A"/>
    <w:rsid w:val="001C14BB"/>
    <w:rsid w:val="001C5B4B"/>
    <w:rsid w:val="001C759B"/>
    <w:rsid w:val="001C77D0"/>
    <w:rsid w:val="001C78B2"/>
    <w:rsid w:val="001D541A"/>
    <w:rsid w:val="001D5779"/>
    <w:rsid w:val="001D6483"/>
    <w:rsid w:val="001D65D7"/>
    <w:rsid w:val="001E12B5"/>
    <w:rsid w:val="001E3CF8"/>
    <w:rsid w:val="001F4842"/>
    <w:rsid w:val="001F7503"/>
    <w:rsid w:val="00207C04"/>
    <w:rsid w:val="002143CD"/>
    <w:rsid w:val="00215F51"/>
    <w:rsid w:val="002219BD"/>
    <w:rsid w:val="00227C04"/>
    <w:rsid w:val="00235DA7"/>
    <w:rsid w:val="002365B7"/>
    <w:rsid w:val="00236E7A"/>
    <w:rsid w:val="00243CFF"/>
    <w:rsid w:val="00257D53"/>
    <w:rsid w:val="00270B97"/>
    <w:rsid w:val="00270F6F"/>
    <w:rsid w:val="00276E94"/>
    <w:rsid w:val="00280141"/>
    <w:rsid w:val="0028219C"/>
    <w:rsid w:val="00283C68"/>
    <w:rsid w:val="00295091"/>
    <w:rsid w:val="00296290"/>
    <w:rsid w:val="002A3BFD"/>
    <w:rsid w:val="002A5956"/>
    <w:rsid w:val="002A5B45"/>
    <w:rsid w:val="002A72C5"/>
    <w:rsid w:val="002B4741"/>
    <w:rsid w:val="002C074B"/>
    <w:rsid w:val="002C5B42"/>
    <w:rsid w:val="002D5302"/>
    <w:rsid w:val="002E1568"/>
    <w:rsid w:val="002F0EE2"/>
    <w:rsid w:val="002F3832"/>
    <w:rsid w:val="002F42B1"/>
    <w:rsid w:val="002F4CBA"/>
    <w:rsid w:val="002F551A"/>
    <w:rsid w:val="002F6255"/>
    <w:rsid w:val="00302A79"/>
    <w:rsid w:val="00304605"/>
    <w:rsid w:val="00317204"/>
    <w:rsid w:val="00317B40"/>
    <w:rsid w:val="00317EB0"/>
    <w:rsid w:val="00320AE2"/>
    <w:rsid w:val="00324BF0"/>
    <w:rsid w:val="00334251"/>
    <w:rsid w:val="00336201"/>
    <w:rsid w:val="00337AF6"/>
    <w:rsid w:val="00340154"/>
    <w:rsid w:val="00346831"/>
    <w:rsid w:val="00346E4C"/>
    <w:rsid w:val="00352C92"/>
    <w:rsid w:val="00356E5C"/>
    <w:rsid w:val="003637D5"/>
    <w:rsid w:val="00365DFD"/>
    <w:rsid w:val="003668D8"/>
    <w:rsid w:val="00366D24"/>
    <w:rsid w:val="0037102B"/>
    <w:rsid w:val="00371D02"/>
    <w:rsid w:val="00372649"/>
    <w:rsid w:val="0037593D"/>
    <w:rsid w:val="00377B98"/>
    <w:rsid w:val="00382FD2"/>
    <w:rsid w:val="003837EA"/>
    <w:rsid w:val="003924B0"/>
    <w:rsid w:val="0039337B"/>
    <w:rsid w:val="003A3CB9"/>
    <w:rsid w:val="003A4574"/>
    <w:rsid w:val="003A6406"/>
    <w:rsid w:val="003A6730"/>
    <w:rsid w:val="003B46BC"/>
    <w:rsid w:val="003B5EB3"/>
    <w:rsid w:val="003C7652"/>
    <w:rsid w:val="003D2CF3"/>
    <w:rsid w:val="003D345D"/>
    <w:rsid w:val="003D3BA6"/>
    <w:rsid w:val="003D533A"/>
    <w:rsid w:val="003D75C6"/>
    <w:rsid w:val="003E06CE"/>
    <w:rsid w:val="003E1D13"/>
    <w:rsid w:val="003E2064"/>
    <w:rsid w:val="003E3735"/>
    <w:rsid w:val="003E5EC5"/>
    <w:rsid w:val="003F47E6"/>
    <w:rsid w:val="003F5638"/>
    <w:rsid w:val="0040332E"/>
    <w:rsid w:val="00403723"/>
    <w:rsid w:val="00404112"/>
    <w:rsid w:val="00410EF3"/>
    <w:rsid w:val="00415FAF"/>
    <w:rsid w:val="004229AF"/>
    <w:rsid w:val="00443C02"/>
    <w:rsid w:val="00444138"/>
    <w:rsid w:val="0044620A"/>
    <w:rsid w:val="00446A5B"/>
    <w:rsid w:val="00446DF8"/>
    <w:rsid w:val="0045563A"/>
    <w:rsid w:val="00455DA1"/>
    <w:rsid w:val="00463C30"/>
    <w:rsid w:val="00465798"/>
    <w:rsid w:val="00470564"/>
    <w:rsid w:val="0047264D"/>
    <w:rsid w:val="00472759"/>
    <w:rsid w:val="00473F04"/>
    <w:rsid w:val="004815B4"/>
    <w:rsid w:val="00490F11"/>
    <w:rsid w:val="0049457E"/>
    <w:rsid w:val="00495F41"/>
    <w:rsid w:val="00496BB6"/>
    <w:rsid w:val="00497413"/>
    <w:rsid w:val="0049777D"/>
    <w:rsid w:val="004A3999"/>
    <w:rsid w:val="004A5222"/>
    <w:rsid w:val="004A72B5"/>
    <w:rsid w:val="004A7D08"/>
    <w:rsid w:val="004B682A"/>
    <w:rsid w:val="004C10D0"/>
    <w:rsid w:val="004E555D"/>
    <w:rsid w:val="004E67B2"/>
    <w:rsid w:val="004F368F"/>
    <w:rsid w:val="004F3F4E"/>
    <w:rsid w:val="00500F7D"/>
    <w:rsid w:val="00504AD4"/>
    <w:rsid w:val="0050736D"/>
    <w:rsid w:val="00512276"/>
    <w:rsid w:val="00522F14"/>
    <w:rsid w:val="0053147C"/>
    <w:rsid w:val="00531B5F"/>
    <w:rsid w:val="00534846"/>
    <w:rsid w:val="005359B3"/>
    <w:rsid w:val="00540BE7"/>
    <w:rsid w:val="00542E3B"/>
    <w:rsid w:val="00547729"/>
    <w:rsid w:val="00550833"/>
    <w:rsid w:val="00555472"/>
    <w:rsid w:val="0056130A"/>
    <w:rsid w:val="0056663E"/>
    <w:rsid w:val="00571307"/>
    <w:rsid w:val="00572714"/>
    <w:rsid w:val="00574675"/>
    <w:rsid w:val="00574A4B"/>
    <w:rsid w:val="00581B32"/>
    <w:rsid w:val="005A13DC"/>
    <w:rsid w:val="005A14B5"/>
    <w:rsid w:val="005A28D9"/>
    <w:rsid w:val="005A7B10"/>
    <w:rsid w:val="005B0FC9"/>
    <w:rsid w:val="005B10BB"/>
    <w:rsid w:val="005C1420"/>
    <w:rsid w:val="005D5D07"/>
    <w:rsid w:val="005E4ED0"/>
    <w:rsid w:val="005F05A5"/>
    <w:rsid w:val="005F0C20"/>
    <w:rsid w:val="005F6E48"/>
    <w:rsid w:val="006068B4"/>
    <w:rsid w:val="006103AB"/>
    <w:rsid w:val="00615063"/>
    <w:rsid w:val="0061759F"/>
    <w:rsid w:val="00624743"/>
    <w:rsid w:val="00624AE1"/>
    <w:rsid w:val="00626D15"/>
    <w:rsid w:val="00636A3B"/>
    <w:rsid w:val="00641597"/>
    <w:rsid w:val="006430CF"/>
    <w:rsid w:val="00643FC6"/>
    <w:rsid w:val="0065429A"/>
    <w:rsid w:val="0065490F"/>
    <w:rsid w:val="00660825"/>
    <w:rsid w:val="006609B2"/>
    <w:rsid w:val="00662A31"/>
    <w:rsid w:val="00662F90"/>
    <w:rsid w:val="00663CD5"/>
    <w:rsid w:val="00666771"/>
    <w:rsid w:val="00671095"/>
    <w:rsid w:val="0068131D"/>
    <w:rsid w:val="00687854"/>
    <w:rsid w:val="006911E2"/>
    <w:rsid w:val="00696C66"/>
    <w:rsid w:val="00697050"/>
    <w:rsid w:val="006A027D"/>
    <w:rsid w:val="006A38E8"/>
    <w:rsid w:val="006A5753"/>
    <w:rsid w:val="006B2010"/>
    <w:rsid w:val="006C2960"/>
    <w:rsid w:val="006C7B16"/>
    <w:rsid w:val="006D107A"/>
    <w:rsid w:val="006D6DC3"/>
    <w:rsid w:val="006E054F"/>
    <w:rsid w:val="006E36F6"/>
    <w:rsid w:val="006F251C"/>
    <w:rsid w:val="006F4863"/>
    <w:rsid w:val="007062B4"/>
    <w:rsid w:val="00710BF0"/>
    <w:rsid w:val="00715BD0"/>
    <w:rsid w:val="00725478"/>
    <w:rsid w:val="00726446"/>
    <w:rsid w:val="00731DF0"/>
    <w:rsid w:val="00741A0D"/>
    <w:rsid w:val="0075096C"/>
    <w:rsid w:val="00751BE3"/>
    <w:rsid w:val="00752E81"/>
    <w:rsid w:val="00763677"/>
    <w:rsid w:val="00766A6C"/>
    <w:rsid w:val="00766CE4"/>
    <w:rsid w:val="00776C87"/>
    <w:rsid w:val="00780B19"/>
    <w:rsid w:val="007844B5"/>
    <w:rsid w:val="0079497B"/>
    <w:rsid w:val="00796A39"/>
    <w:rsid w:val="007A4419"/>
    <w:rsid w:val="007A7574"/>
    <w:rsid w:val="007B3EFC"/>
    <w:rsid w:val="007C1466"/>
    <w:rsid w:val="007E26C1"/>
    <w:rsid w:val="007E48DF"/>
    <w:rsid w:val="007F065C"/>
    <w:rsid w:val="007F1ADA"/>
    <w:rsid w:val="00802987"/>
    <w:rsid w:val="00804D1B"/>
    <w:rsid w:val="00805669"/>
    <w:rsid w:val="00805AB2"/>
    <w:rsid w:val="00813D0A"/>
    <w:rsid w:val="008238DE"/>
    <w:rsid w:val="00826DB8"/>
    <w:rsid w:val="00830029"/>
    <w:rsid w:val="00831827"/>
    <w:rsid w:val="008319C6"/>
    <w:rsid w:val="00832678"/>
    <w:rsid w:val="00833D28"/>
    <w:rsid w:val="00836D88"/>
    <w:rsid w:val="008421A7"/>
    <w:rsid w:val="00842951"/>
    <w:rsid w:val="008436F6"/>
    <w:rsid w:val="00845835"/>
    <w:rsid w:val="00853AC6"/>
    <w:rsid w:val="00864EFF"/>
    <w:rsid w:val="00866D66"/>
    <w:rsid w:val="00870F3C"/>
    <w:rsid w:val="00872704"/>
    <w:rsid w:val="008763C0"/>
    <w:rsid w:val="008763D3"/>
    <w:rsid w:val="00880DC0"/>
    <w:rsid w:val="00890BB0"/>
    <w:rsid w:val="008937FE"/>
    <w:rsid w:val="008942CD"/>
    <w:rsid w:val="00895C65"/>
    <w:rsid w:val="00897EA7"/>
    <w:rsid w:val="008A06B6"/>
    <w:rsid w:val="008A1FDB"/>
    <w:rsid w:val="008B1476"/>
    <w:rsid w:val="008B4AE2"/>
    <w:rsid w:val="008C0257"/>
    <w:rsid w:val="008C36EE"/>
    <w:rsid w:val="008C3DA7"/>
    <w:rsid w:val="008C656E"/>
    <w:rsid w:val="008D74E0"/>
    <w:rsid w:val="008D768F"/>
    <w:rsid w:val="008E14A8"/>
    <w:rsid w:val="008E5401"/>
    <w:rsid w:val="008F02BE"/>
    <w:rsid w:val="008F0F69"/>
    <w:rsid w:val="008F122F"/>
    <w:rsid w:val="008F5F0D"/>
    <w:rsid w:val="008F640E"/>
    <w:rsid w:val="008F7E9F"/>
    <w:rsid w:val="00900D1F"/>
    <w:rsid w:val="00905628"/>
    <w:rsid w:val="00915D73"/>
    <w:rsid w:val="00925F22"/>
    <w:rsid w:val="009271BC"/>
    <w:rsid w:val="0094087C"/>
    <w:rsid w:val="00944F32"/>
    <w:rsid w:val="00945CB7"/>
    <w:rsid w:val="00945EFA"/>
    <w:rsid w:val="00950F15"/>
    <w:rsid w:val="00952B0D"/>
    <w:rsid w:val="00957CC6"/>
    <w:rsid w:val="0097317E"/>
    <w:rsid w:val="00976946"/>
    <w:rsid w:val="00976FD7"/>
    <w:rsid w:val="00992FEE"/>
    <w:rsid w:val="00995B5F"/>
    <w:rsid w:val="009A7461"/>
    <w:rsid w:val="009B55CA"/>
    <w:rsid w:val="009B657B"/>
    <w:rsid w:val="009C2852"/>
    <w:rsid w:val="009C56B2"/>
    <w:rsid w:val="009C59B0"/>
    <w:rsid w:val="009C63FE"/>
    <w:rsid w:val="009C6DFA"/>
    <w:rsid w:val="009D1B9D"/>
    <w:rsid w:val="009E096B"/>
    <w:rsid w:val="009E3432"/>
    <w:rsid w:val="009E6107"/>
    <w:rsid w:val="009F1D21"/>
    <w:rsid w:val="009F400D"/>
    <w:rsid w:val="00A011FB"/>
    <w:rsid w:val="00A021EA"/>
    <w:rsid w:val="00A033F0"/>
    <w:rsid w:val="00A145AB"/>
    <w:rsid w:val="00A30583"/>
    <w:rsid w:val="00A3175F"/>
    <w:rsid w:val="00A36F16"/>
    <w:rsid w:val="00A4558C"/>
    <w:rsid w:val="00A51AE6"/>
    <w:rsid w:val="00A56807"/>
    <w:rsid w:val="00A62169"/>
    <w:rsid w:val="00A748B3"/>
    <w:rsid w:val="00A80CA2"/>
    <w:rsid w:val="00A813CE"/>
    <w:rsid w:val="00A81896"/>
    <w:rsid w:val="00A9266A"/>
    <w:rsid w:val="00A93FC1"/>
    <w:rsid w:val="00AB50B9"/>
    <w:rsid w:val="00AC3F58"/>
    <w:rsid w:val="00AC459B"/>
    <w:rsid w:val="00AC62D0"/>
    <w:rsid w:val="00AD0442"/>
    <w:rsid w:val="00AD49CB"/>
    <w:rsid w:val="00AD7989"/>
    <w:rsid w:val="00AE7A6F"/>
    <w:rsid w:val="00AF10B9"/>
    <w:rsid w:val="00AF1725"/>
    <w:rsid w:val="00AF7288"/>
    <w:rsid w:val="00B00B9E"/>
    <w:rsid w:val="00B020FB"/>
    <w:rsid w:val="00B03A57"/>
    <w:rsid w:val="00B04F4E"/>
    <w:rsid w:val="00B05F44"/>
    <w:rsid w:val="00B078EC"/>
    <w:rsid w:val="00B07F77"/>
    <w:rsid w:val="00B14BEF"/>
    <w:rsid w:val="00B21863"/>
    <w:rsid w:val="00B26848"/>
    <w:rsid w:val="00B33DA0"/>
    <w:rsid w:val="00B42A23"/>
    <w:rsid w:val="00B444EB"/>
    <w:rsid w:val="00B45CCA"/>
    <w:rsid w:val="00B56756"/>
    <w:rsid w:val="00B83843"/>
    <w:rsid w:val="00B8393D"/>
    <w:rsid w:val="00B85113"/>
    <w:rsid w:val="00B852D8"/>
    <w:rsid w:val="00B8666D"/>
    <w:rsid w:val="00B86F54"/>
    <w:rsid w:val="00B93340"/>
    <w:rsid w:val="00BA4311"/>
    <w:rsid w:val="00BA6525"/>
    <w:rsid w:val="00BB11F6"/>
    <w:rsid w:val="00BB1D6D"/>
    <w:rsid w:val="00BB39E3"/>
    <w:rsid w:val="00BB4704"/>
    <w:rsid w:val="00BB5BF7"/>
    <w:rsid w:val="00BB6082"/>
    <w:rsid w:val="00BB6991"/>
    <w:rsid w:val="00BC71B1"/>
    <w:rsid w:val="00BD2023"/>
    <w:rsid w:val="00BD39DE"/>
    <w:rsid w:val="00BD6148"/>
    <w:rsid w:val="00BD65D2"/>
    <w:rsid w:val="00BE27E5"/>
    <w:rsid w:val="00BE54BE"/>
    <w:rsid w:val="00C005B2"/>
    <w:rsid w:val="00C0429D"/>
    <w:rsid w:val="00C056AE"/>
    <w:rsid w:val="00C0623A"/>
    <w:rsid w:val="00C11AFD"/>
    <w:rsid w:val="00C13991"/>
    <w:rsid w:val="00C17535"/>
    <w:rsid w:val="00C32BF8"/>
    <w:rsid w:val="00C34058"/>
    <w:rsid w:val="00C37B9A"/>
    <w:rsid w:val="00C42457"/>
    <w:rsid w:val="00C50060"/>
    <w:rsid w:val="00C50DF0"/>
    <w:rsid w:val="00C51AA3"/>
    <w:rsid w:val="00C53DD8"/>
    <w:rsid w:val="00C56324"/>
    <w:rsid w:val="00C60E68"/>
    <w:rsid w:val="00C7369F"/>
    <w:rsid w:val="00C73936"/>
    <w:rsid w:val="00C81BAF"/>
    <w:rsid w:val="00C82EEA"/>
    <w:rsid w:val="00C87061"/>
    <w:rsid w:val="00C872C7"/>
    <w:rsid w:val="00C87572"/>
    <w:rsid w:val="00C9059F"/>
    <w:rsid w:val="00CA3541"/>
    <w:rsid w:val="00CA6370"/>
    <w:rsid w:val="00CA664A"/>
    <w:rsid w:val="00CB6E8A"/>
    <w:rsid w:val="00CB7C6E"/>
    <w:rsid w:val="00CB7D02"/>
    <w:rsid w:val="00CC46F4"/>
    <w:rsid w:val="00CC61BC"/>
    <w:rsid w:val="00CC7D3D"/>
    <w:rsid w:val="00CD2C68"/>
    <w:rsid w:val="00CD5139"/>
    <w:rsid w:val="00CD7FBF"/>
    <w:rsid w:val="00CF3AF8"/>
    <w:rsid w:val="00CF409B"/>
    <w:rsid w:val="00CF4401"/>
    <w:rsid w:val="00CF5C43"/>
    <w:rsid w:val="00CF6876"/>
    <w:rsid w:val="00CF7004"/>
    <w:rsid w:val="00D112A4"/>
    <w:rsid w:val="00D17407"/>
    <w:rsid w:val="00D24A14"/>
    <w:rsid w:val="00D300DC"/>
    <w:rsid w:val="00D30A36"/>
    <w:rsid w:val="00D4216F"/>
    <w:rsid w:val="00D45AE8"/>
    <w:rsid w:val="00D47751"/>
    <w:rsid w:val="00D523C8"/>
    <w:rsid w:val="00D54963"/>
    <w:rsid w:val="00D57323"/>
    <w:rsid w:val="00D60C9F"/>
    <w:rsid w:val="00D66AC9"/>
    <w:rsid w:val="00D734AE"/>
    <w:rsid w:val="00D75F86"/>
    <w:rsid w:val="00D80685"/>
    <w:rsid w:val="00D80E2A"/>
    <w:rsid w:val="00D911DF"/>
    <w:rsid w:val="00D911E8"/>
    <w:rsid w:val="00D965C0"/>
    <w:rsid w:val="00DA02DC"/>
    <w:rsid w:val="00DA381B"/>
    <w:rsid w:val="00DA6D2F"/>
    <w:rsid w:val="00DB200C"/>
    <w:rsid w:val="00DB2A92"/>
    <w:rsid w:val="00DB4E32"/>
    <w:rsid w:val="00DC2B5B"/>
    <w:rsid w:val="00DD0B8A"/>
    <w:rsid w:val="00DD1380"/>
    <w:rsid w:val="00DE10F9"/>
    <w:rsid w:val="00DE2093"/>
    <w:rsid w:val="00DF4C8A"/>
    <w:rsid w:val="00DF7E2B"/>
    <w:rsid w:val="00E008FC"/>
    <w:rsid w:val="00E0281A"/>
    <w:rsid w:val="00E03F77"/>
    <w:rsid w:val="00E07DC2"/>
    <w:rsid w:val="00E12EA4"/>
    <w:rsid w:val="00E14998"/>
    <w:rsid w:val="00E23228"/>
    <w:rsid w:val="00E278F4"/>
    <w:rsid w:val="00E61368"/>
    <w:rsid w:val="00E7159A"/>
    <w:rsid w:val="00E72ACD"/>
    <w:rsid w:val="00E76566"/>
    <w:rsid w:val="00E81C76"/>
    <w:rsid w:val="00E841ED"/>
    <w:rsid w:val="00E96CF1"/>
    <w:rsid w:val="00EA0690"/>
    <w:rsid w:val="00EA373D"/>
    <w:rsid w:val="00EA3BEE"/>
    <w:rsid w:val="00EB0F54"/>
    <w:rsid w:val="00EB31A5"/>
    <w:rsid w:val="00EB50E7"/>
    <w:rsid w:val="00EB5BD6"/>
    <w:rsid w:val="00EC27B0"/>
    <w:rsid w:val="00EC6C4C"/>
    <w:rsid w:val="00ED004D"/>
    <w:rsid w:val="00ED336F"/>
    <w:rsid w:val="00ED42BF"/>
    <w:rsid w:val="00EF3934"/>
    <w:rsid w:val="00EF4867"/>
    <w:rsid w:val="00F01D60"/>
    <w:rsid w:val="00F06D43"/>
    <w:rsid w:val="00F10AF8"/>
    <w:rsid w:val="00F12DC2"/>
    <w:rsid w:val="00F14C86"/>
    <w:rsid w:val="00F20298"/>
    <w:rsid w:val="00F40173"/>
    <w:rsid w:val="00F44704"/>
    <w:rsid w:val="00F54DE2"/>
    <w:rsid w:val="00F73D41"/>
    <w:rsid w:val="00F74346"/>
    <w:rsid w:val="00F74B81"/>
    <w:rsid w:val="00F77ADF"/>
    <w:rsid w:val="00F83B8B"/>
    <w:rsid w:val="00F8497C"/>
    <w:rsid w:val="00F849AB"/>
    <w:rsid w:val="00F854F0"/>
    <w:rsid w:val="00FA3B1D"/>
    <w:rsid w:val="00FB34FA"/>
    <w:rsid w:val="00FC09D2"/>
    <w:rsid w:val="00FC7287"/>
    <w:rsid w:val="00FD1D16"/>
    <w:rsid w:val="00FE0728"/>
    <w:rsid w:val="00FE4AC3"/>
    <w:rsid w:val="00FF17C1"/>
    <w:rsid w:val="00FF2496"/>
    <w:rsid w:val="00FF34C4"/>
    <w:rsid w:val="02021D56"/>
    <w:rsid w:val="022930C9"/>
    <w:rsid w:val="023A0FB7"/>
    <w:rsid w:val="02993B7B"/>
    <w:rsid w:val="02A32C32"/>
    <w:rsid w:val="02A9706C"/>
    <w:rsid w:val="02AA4AEE"/>
    <w:rsid w:val="03384E01"/>
    <w:rsid w:val="03B156BC"/>
    <w:rsid w:val="03C41504"/>
    <w:rsid w:val="03C850CF"/>
    <w:rsid w:val="042E26EB"/>
    <w:rsid w:val="04AE5412"/>
    <w:rsid w:val="055A6799"/>
    <w:rsid w:val="058F57AB"/>
    <w:rsid w:val="06AB7F61"/>
    <w:rsid w:val="06AD44B5"/>
    <w:rsid w:val="0788712C"/>
    <w:rsid w:val="07CF0A6B"/>
    <w:rsid w:val="07F55F19"/>
    <w:rsid w:val="08A83903"/>
    <w:rsid w:val="08F341AB"/>
    <w:rsid w:val="09806034"/>
    <w:rsid w:val="09A45C60"/>
    <w:rsid w:val="0A620D04"/>
    <w:rsid w:val="0A86670A"/>
    <w:rsid w:val="0AC32EC6"/>
    <w:rsid w:val="0B1F44DB"/>
    <w:rsid w:val="0C105208"/>
    <w:rsid w:val="0C440D06"/>
    <w:rsid w:val="0C526F1B"/>
    <w:rsid w:val="0C6064B2"/>
    <w:rsid w:val="0C86512E"/>
    <w:rsid w:val="0CB80693"/>
    <w:rsid w:val="0D521BE9"/>
    <w:rsid w:val="0D684793"/>
    <w:rsid w:val="0D815EEB"/>
    <w:rsid w:val="0E665031"/>
    <w:rsid w:val="0EBC5AFC"/>
    <w:rsid w:val="0F817C7F"/>
    <w:rsid w:val="0FB03EC3"/>
    <w:rsid w:val="0FDD1292"/>
    <w:rsid w:val="10954A03"/>
    <w:rsid w:val="10A7106C"/>
    <w:rsid w:val="11A16B0E"/>
    <w:rsid w:val="11AD6FFD"/>
    <w:rsid w:val="11B17F14"/>
    <w:rsid w:val="11CC438F"/>
    <w:rsid w:val="129C3395"/>
    <w:rsid w:val="12EE1F7E"/>
    <w:rsid w:val="12F33400"/>
    <w:rsid w:val="13B93B6C"/>
    <w:rsid w:val="13E2296E"/>
    <w:rsid w:val="13E80284"/>
    <w:rsid w:val="14A87B8F"/>
    <w:rsid w:val="15037006"/>
    <w:rsid w:val="15612C23"/>
    <w:rsid w:val="15F1120D"/>
    <w:rsid w:val="170D2187"/>
    <w:rsid w:val="17727BF9"/>
    <w:rsid w:val="179622DC"/>
    <w:rsid w:val="17D74225"/>
    <w:rsid w:val="17DF51B5"/>
    <w:rsid w:val="18796674"/>
    <w:rsid w:val="18B72C9A"/>
    <w:rsid w:val="18BB0285"/>
    <w:rsid w:val="18E1409A"/>
    <w:rsid w:val="19DD1B88"/>
    <w:rsid w:val="1A524DCF"/>
    <w:rsid w:val="1A83256B"/>
    <w:rsid w:val="1ADC212F"/>
    <w:rsid w:val="1AF97DFE"/>
    <w:rsid w:val="1B140565"/>
    <w:rsid w:val="1B2B12C2"/>
    <w:rsid w:val="1B3130CC"/>
    <w:rsid w:val="1B56253A"/>
    <w:rsid w:val="1BB116FE"/>
    <w:rsid w:val="1BBD7E75"/>
    <w:rsid w:val="1C3F1ACA"/>
    <w:rsid w:val="1D800675"/>
    <w:rsid w:val="1D801B1B"/>
    <w:rsid w:val="1D954A72"/>
    <w:rsid w:val="1DB1336F"/>
    <w:rsid w:val="1DEF672A"/>
    <w:rsid w:val="1DF705B9"/>
    <w:rsid w:val="1E310498"/>
    <w:rsid w:val="1F174BB2"/>
    <w:rsid w:val="1FC51226"/>
    <w:rsid w:val="20272E06"/>
    <w:rsid w:val="20424779"/>
    <w:rsid w:val="20C22D2D"/>
    <w:rsid w:val="20D214F2"/>
    <w:rsid w:val="20DC5417"/>
    <w:rsid w:val="213E3250"/>
    <w:rsid w:val="215522BF"/>
    <w:rsid w:val="21C656CC"/>
    <w:rsid w:val="21E47825"/>
    <w:rsid w:val="23B0469D"/>
    <w:rsid w:val="23B72E90"/>
    <w:rsid w:val="24127D33"/>
    <w:rsid w:val="24373626"/>
    <w:rsid w:val="244B3216"/>
    <w:rsid w:val="24A65189"/>
    <w:rsid w:val="24A770ED"/>
    <w:rsid w:val="24BE16C7"/>
    <w:rsid w:val="24CB5980"/>
    <w:rsid w:val="257C7C12"/>
    <w:rsid w:val="25860748"/>
    <w:rsid w:val="25D262F5"/>
    <w:rsid w:val="26D43F45"/>
    <w:rsid w:val="2728014B"/>
    <w:rsid w:val="272F01F7"/>
    <w:rsid w:val="27B03D42"/>
    <w:rsid w:val="281C741D"/>
    <w:rsid w:val="286036CB"/>
    <w:rsid w:val="28F119A1"/>
    <w:rsid w:val="290D7EAB"/>
    <w:rsid w:val="292A2B01"/>
    <w:rsid w:val="294F0DD5"/>
    <w:rsid w:val="29F00112"/>
    <w:rsid w:val="29FD2CFF"/>
    <w:rsid w:val="2A280533"/>
    <w:rsid w:val="2AF65C40"/>
    <w:rsid w:val="2B1F4176"/>
    <w:rsid w:val="2B222F6E"/>
    <w:rsid w:val="2B513A1E"/>
    <w:rsid w:val="2B606EB1"/>
    <w:rsid w:val="2B8A331A"/>
    <w:rsid w:val="2B9329AB"/>
    <w:rsid w:val="2C1A6C97"/>
    <w:rsid w:val="2C207C6C"/>
    <w:rsid w:val="2D765371"/>
    <w:rsid w:val="2DC35A21"/>
    <w:rsid w:val="2E1F28B7"/>
    <w:rsid w:val="2E744399"/>
    <w:rsid w:val="2E807459"/>
    <w:rsid w:val="2F1B1B4E"/>
    <w:rsid w:val="2F226C62"/>
    <w:rsid w:val="2F652BCF"/>
    <w:rsid w:val="2F8D1F5F"/>
    <w:rsid w:val="2FB616D4"/>
    <w:rsid w:val="2FD5209C"/>
    <w:rsid w:val="2FE03837"/>
    <w:rsid w:val="2FE55BD3"/>
    <w:rsid w:val="30751A6F"/>
    <w:rsid w:val="30FB53B2"/>
    <w:rsid w:val="314B69D0"/>
    <w:rsid w:val="3176144A"/>
    <w:rsid w:val="31B01FC3"/>
    <w:rsid w:val="32070952"/>
    <w:rsid w:val="32F84146"/>
    <w:rsid w:val="33D83AC3"/>
    <w:rsid w:val="33E510F4"/>
    <w:rsid w:val="34490ED3"/>
    <w:rsid w:val="346772DB"/>
    <w:rsid w:val="346778F5"/>
    <w:rsid w:val="35740C40"/>
    <w:rsid w:val="357E3492"/>
    <w:rsid w:val="35B83C98"/>
    <w:rsid w:val="35E271A2"/>
    <w:rsid w:val="364E3E27"/>
    <w:rsid w:val="36B95910"/>
    <w:rsid w:val="36D0577E"/>
    <w:rsid w:val="37253E8A"/>
    <w:rsid w:val="37A7315E"/>
    <w:rsid w:val="37F151FE"/>
    <w:rsid w:val="38764D46"/>
    <w:rsid w:val="389E1F54"/>
    <w:rsid w:val="389F176A"/>
    <w:rsid w:val="38DE10FD"/>
    <w:rsid w:val="38DF54F8"/>
    <w:rsid w:val="391F00CC"/>
    <w:rsid w:val="395F3DC5"/>
    <w:rsid w:val="39B51CF5"/>
    <w:rsid w:val="39FE7FD1"/>
    <w:rsid w:val="3A184A7A"/>
    <w:rsid w:val="3A7D1602"/>
    <w:rsid w:val="3B243D8A"/>
    <w:rsid w:val="3B7E4A28"/>
    <w:rsid w:val="3B9D74DC"/>
    <w:rsid w:val="3BB75E87"/>
    <w:rsid w:val="3BC45E92"/>
    <w:rsid w:val="3CA00003"/>
    <w:rsid w:val="3D0235C2"/>
    <w:rsid w:val="3D050662"/>
    <w:rsid w:val="3D197950"/>
    <w:rsid w:val="3D6025D5"/>
    <w:rsid w:val="3DF053E7"/>
    <w:rsid w:val="3E1B1A90"/>
    <w:rsid w:val="3E491A3A"/>
    <w:rsid w:val="3E7F3B15"/>
    <w:rsid w:val="3F5522B8"/>
    <w:rsid w:val="3F5F7F07"/>
    <w:rsid w:val="3FA21C75"/>
    <w:rsid w:val="3FD63099"/>
    <w:rsid w:val="40B26DB4"/>
    <w:rsid w:val="40D24037"/>
    <w:rsid w:val="416507D1"/>
    <w:rsid w:val="41BB69C7"/>
    <w:rsid w:val="42AB3D39"/>
    <w:rsid w:val="42D2752E"/>
    <w:rsid w:val="42FE1944"/>
    <w:rsid w:val="4365451E"/>
    <w:rsid w:val="442E1B0B"/>
    <w:rsid w:val="4505203A"/>
    <w:rsid w:val="45AA5984"/>
    <w:rsid w:val="45BD1D97"/>
    <w:rsid w:val="45F74161"/>
    <w:rsid w:val="463D4CCE"/>
    <w:rsid w:val="46634DF9"/>
    <w:rsid w:val="467D4684"/>
    <w:rsid w:val="46875A66"/>
    <w:rsid w:val="47CF4628"/>
    <w:rsid w:val="485A677A"/>
    <w:rsid w:val="4867040C"/>
    <w:rsid w:val="499F02EB"/>
    <w:rsid w:val="4A323FDC"/>
    <w:rsid w:val="4B0A392B"/>
    <w:rsid w:val="4B9D3C9D"/>
    <w:rsid w:val="4C034831"/>
    <w:rsid w:val="4C987426"/>
    <w:rsid w:val="4CCE6A8F"/>
    <w:rsid w:val="4D426A4E"/>
    <w:rsid w:val="4E0812BD"/>
    <w:rsid w:val="4E50104C"/>
    <w:rsid w:val="4E59073E"/>
    <w:rsid w:val="4E6819A9"/>
    <w:rsid w:val="4E6D3D6A"/>
    <w:rsid w:val="4EAB2F08"/>
    <w:rsid w:val="4EBA2DB7"/>
    <w:rsid w:val="4F56216C"/>
    <w:rsid w:val="4F824D7E"/>
    <w:rsid w:val="4F880DD7"/>
    <w:rsid w:val="50044053"/>
    <w:rsid w:val="50514475"/>
    <w:rsid w:val="50953188"/>
    <w:rsid w:val="50BE2D41"/>
    <w:rsid w:val="51C46BC4"/>
    <w:rsid w:val="52250357"/>
    <w:rsid w:val="52A34A03"/>
    <w:rsid w:val="52C4253C"/>
    <w:rsid w:val="52FC12A6"/>
    <w:rsid w:val="535F3A8F"/>
    <w:rsid w:val="54A07C64"/>
    <w:rsid w:val="54EA55DA"/>
    <w:rsid w:val="54F351D4"/>
    <w:rsid w:val="550F48BC"/>
    <w:rsid w:val="555103BD"/>
    <w:rsid w:val="55C01AA6"/>
    <w:rsid w:val="55EB4403"/>
    <w:rsid w:val="56031AAA"/>
    <w:rsid w:val="564D55D3"/>
    <w:rsid w:val="567A3FB6"/>
    <w:rsid w:val="56CE045B"/>
    <w:rsid w:val="577861BC"/>
    <w:rsid w:val="58327B40"/>
    <w:rsid w:val="58D5734A"/>
    <w:rsid w:val="58E65252"/>
    <w:rsid w:val="593A5ECD"/>
    <w:rsid w:val="59B949CC"/>
    <w:rsid w:val="59F32734"/>
    <w:rsid w:val="5ABF14AE"/>
    <w:rsid w:val="5AF041C1"/>
    <w:rsid w:val="5B6C4B08"/>
    <w:rsid w:val="5B9A1245"/>
    <w:rsid w:val="5C696736"/>
    <w:rsid w:val="5C762CBF"/>
    <w:rsid w:val="5DB855A6"/>
    <w:rsid w:val="5DC071E2"/>
    <w:rsid w:val="5DCB7480"/>
    <w:rsid w:val="5E2E6B91"/>
    <w:rsid w:val="5E45098F"/>
    <w:rsid w:val="5E4E5E7E"/>
    <w:rsid w:val="5E934337"/>
    <w:rsid w:val="5EB57DFF"/>
    <w:rsid w:val="5ECA2293"/>
    <w:rsid w:val="5EE256F4"/>
    <w:rsid w:val="5F01496B"/>
    <w:rsid w:val="5F530EF2"/>
    <w:rsid w:val="5FF42C7A"/>
    <w:rsid w:val="60412EE5"/>
    <w:rsid w:val="60677735"/>
    <w:rsid w:val="60C47ACF"/>
    <w:rsid w:val="61317F74"/>
    <w:rsid w:val="617C7394"/>
    <w:rsid w:val="61BC7CB2"/>
    <w:rsid w:val="621464F7"/>
    <w:rsid w:val="62292BA8"/>
    <w:rsid w:val="622D44DC"/>
    <w:rsid w:val="622F7DE4"/>
    <w:rsid w:val="626874D6"/>
    <w:rsid w:val="626D5ADC"/>
    <w:rsid w:val="62D556ED"/>
    <w:rsid w:val="63500498"/>
    <w:rsid w:val="637F180A"/>
    <w:rsid w:val="65065DA0"/>
    <w:rsid w:val="653218D3"/>
    <w:rsid w:val="654C3C80"/>
    <w:rsid w:val="6565715B"/>
    <w:rsid w:val="65F3084E"/>
    <w:rsid w:val="660666A0"/>
    <w:rsid w:val="663372BC"/>
    <w:rsid w:val="668C6D2D"/>
    <w:rsid w:val="66B75476"/>
    <w:rsid w:val="67B76F4A"/>
    <w:rsid w:val="67CC5D59"/>
    <w:rsid w:val="68371009"/>
    <w:rsid w:val="68387EF7"/>
    <w:rsid w:val="6855023B"/>
    <w:rsid w:val="690115CE"/>
    <w:rsid w:val="69315916"/>
    <w:rsid w:val="69EC102F"/>
    <w:rsid w:val="6A8D6AC1"/>
    <w:rsid w:val="6AA13BCE"/>
    <w:rsid w:val="6B133834"/>
    <w:rsid w:val="6C1F5D87"/>
    <w:rsid w:val="6C267BFC"/>
    <w:rsid w:val="6CCC377C"/>
    <w:rsid w:val="6D0C2478"/>
    <w:rsid w:val="6D291469"/>
    <w:rsid w:val="6DB219F3"/>
    <w:rsid w:val="6DDC4D42"/>
    <w:rsid w:val="6E1851C2"/>
    <w:rsid w:val="6E8F593B"/>
    <w:rsid w:val="6ED92770"/>
    <w:rsid w:val="6F0D3F9D"/>
    <w:rsid w:val="6F4132E0"/>
    <w:rsid w:val="6F6B12A2"/>
    <w:rsid w:val="6F8B799A"/>
    <w:rsid w:val="6FAF3D86"/>
    <w:rsid w:val="6FC332BD"/>
    <w:rsid w:val="6FF552C6"/>
    <w:rsid w:val="702B7799"/>
    <w:rsid w:val="70E149C4"/>
    <w:rsid w:val="70E97C96"/>
    <w:rsid w:val="71F31940"/>
    <w:rsid w:val="72BE234E"/>
    <w:rsid w:val="72DC5C27"/>
    <w:rsid w:val="73227977"/>
    <w:rsid w:val="735009F5"/>
    <w:rsid w:val="735820DE"/>
    <w:rsid w:val="73590F25"/>
    <w:rsid w:val="73674D66"/>
    <w:rsid w:val="73FF3761"/>
    <w:rsid w:val="746D17D8"/>
    <w:rsid w:val="747E0277"/>
    <w:rsid w:val="74EF778C"/>
    <w:rsid w:val="7527773D"/>
    <w:rsid w:val="75726E87"/>
    <w:rsid w:val="75B77A16"/>
    <w:rsid w:val="766C261C"/>
    <w:rsid w:val="769A54CE"/>
    <w:rsid w:val="76B726CD"/>
    <w:rsid w:val="76FD5014"/>
    <w:rsid w:val="76FF32C8"/>
    <w:rsid w:val="778031CC"/>
    <w:rsid w:val="77DB7E21"/>
    <w:rsid w:val="78316B33"/>
    <w:rsid w:val="783915D0"/>
    <w:rsid w:val="78411400"/>
    <w:rsid w:val="78571AE2"/>
    <w:rsid w:val="78835BA7"/>
    <w:rsid w:val="79435A80"/>
    <w:rsid w:val="797C5DD6"/>
    <w:rsid w:val="79B00633"/>
    <w:rsid w:val="7A5A1E9D"/>
    <w:rsid w:val="7A87231D"/>
    <w:rsid w:val="7A9C5DCD"/>
    <w:rsid w:val="7AB160CE"/>
    <w:rsid w:val="7B65510B"/>
    <w:rsid w:val="7B897EB9"/>
    <w:rsid w:val="7CDD24DF"/>
    <w:rsid w:val="7D0773EC"/>
    <w:rsid w:val="7D160944"/>
    <w:rsid w:val="7D734561"/>
    <w:rsid w:val="7DF03B2A"/>
    <w:rsid w:val="7E0C756E"/>
    <w:rsid w:val="7E125364"/>
    <w:rsid w:val="7E5513B6"/>
    <w:rsid w:val="7EAE6A04"/>
    <w:rsid w:val="7EBC2E56"/>
    <w:rsid w:val="7EC56F49"/>
    <w:rsid w:val="7EEA69F4"/>
    <w:rsid w:val="7F1A52A2"/>
    <w:rsid w:val="7F385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3">
    <w:name w:val="heading 1"/>
    <w:basedOn w:val="1"/>
    <w:next w:val="1"/>
    <w:link w:val="24"/>
    <w:qFormat/>
    <w:uiPriority w:val="0"/>
    <w:pPr>
      <w:keepNext/>
      <w:keepLines/>
      <w:spacing w:line="360" w:lineRule="auto"/>
      <w:outlineLvl w:val="0"/>
    </w:pPr>
    <w:rPr>
      <w:rFonts w:eastAsia="黑体"/>
      <w:b/>
      <w:bCs/>
      <w:kern w:val="44"/>
      <w:sz w:val="32"/>
      <w:szCs w:val="44"/>
    </w:rPr>
  </w:style>
  <w:style w:type="paragraph" w:styleId="4">
    <w:name w:val="heading 2"/>
    <w:basedOn w:val="3"/>
    <w:next w:val="1"/>
    <w:link w:val="25"/>
    <w:qFormat/>
    <w:uiPriority w:val="0"/>
    <w:pPr>
      <w:outlineLvl w:val="1"/>
    </w:pPr>
    <w:rPr>
      <w:rFonts w:eastAsia="宋体"/>
      <w:b w:val="0"/>
      <w:kern w:val="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39"/>
    <w:pPr>
      <w:tabs>
        <w:tab w:val="right" w:leader="dot" w:pos="8494"/>
      </w:tabs>
      <w:spacing w:line="520" w:lineRule="exact"/>
      <w:ind w:left="420" w:leftChars="200"/>
    </w:pPr>
    <w:rPr>
      <w:rFonts w:eastAsia="楷体_GB2312"/>
      <w:sz w:val="32"/>
    </w:rPr>
  </w:style>
  <w:style w:type="paragraph" w:styleId="5">
    <w:name w:val="annotation text"/>
    <w:basedOn w:val="1"/>
    <w:link w:val="32"/>
    <w:semiHidden/>
    <w:qFormat/>
    <w:uiPriority w:val="0"/>
    <w:pPr>
      <w:jc w:val="left"/>
    </w:pPr>
  </w:style>
  <w:style w:type="paragraph" w:styleId="6">
    <w:name w:val="Body Text"/>
    <w:basedOn w:val="1"/>
    <w:next w:val="7"/>
    <w:unhideWhenUsed/>
    <w:qFormat/>
    <w:uiPriority w:val="99"/>
    <w:pPr>
      <w:adjustRightInd w:val="0"/>
      <w:spacing w:before="100" w:beforeAutospacing="1" w:line="560" w:lineRule="exact"/>
      <w:ind w:firstLine="640" w:firstLineChars="200"/>
      <w:textAlignment w:val="baseline"/>
    </w:pPr>
    <w:rPr>
      <w:rFonts w:ascii="Times New Roman" w:hAnsi="Times New Roman" w:eastAsia="仿宋_GB2312"/>
      <w:kern w:val="0"/>
      <w:sz w:val="32"/>
      <w:szCs w:val="32"/>
    </w:rPr>
  </w:style>
  <w:style w:type="paragraph" w:styleId="7">
    <w:name w:val="Title"/>
    <w:basedOn w:val="1"/>
    <w:next w:val="1"/>
    <w:qFormat/>
    <w:uiPriority w:val="0"/>
    <w:pPr>
      <w:spacing w:before="240" w:beforeLines="0" w:beforeAutospacing="0" w:after="60" w:afterLines="0" w:afterAutospacing="0"/>
      <w:jc w:val="center"/>
      <w:outlineLvl w:val="0"/>
    </w:pPr>
    <w:rPr>
      <w:rFonts w:ascii="Arial" w:hAnsi="Arial" w:eastAsia="宋体" w:cs="Times New Roman"/>
      <w:b/>
      <w:sz w:val="32"/>
    </w:rPr>
  </w:style>
  <w:style w:type="paragraph" w:styleId="8">
    <w:name w:val="Body Text Indent"/>
    <w:basedOn w:val="1"/>
    <w:link w:val="27"/>
    <w:qFormat/>
    <w:uiPriority w:val="0"/>
    <w:pPr>
      <w:spacing w:line="480" w:lineRule="atLeast"/>
      <w:ind w:firstLine="640"/>
    </w:pPr>
    <w:rPr>
      <w:rFonts w:ascii="仿宋_GB2312" w:eastAsia="仿宋_GB2312"/>
      <w:sz w:val="32"/>
      <w:szCs w:val="20"/>
    </w:r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Balloon Text"/>
    <w:basedOn w:val="1"/>
    <w:link w:val="31"/>
    <w:semiHidden/>
    <w:qFormat/>
    <w:uiPriority w:val="0"/>
    <w:rPr>
      <w:sz w:val="18"/>
      <w:szCs w:val="18"/>
    </w:rPr>
  </w:style>
  <w:style w:type="paragraph" w:styleId="11">
    <w:name w:val="footer"/>
    <w:basedOn w:val="1"/>
    <w:link w:val="23"/>
    <w:unhideWhenUsed/>
    <w:qFormat/>
    <w:uiPriority w:val="99"/>
    <w:pPr>
      <w:tabs>
        <w:tab w:val="center" w:pos="4153"/>
        <w:tab w:val="right" w:pos="8306"/>
      </w:tabs>
      <w:snapToGrid w:val="0"/>
      <w:jc w:val="left"/>
    </w:pPr>
    <w:rPr>
      <w:sz w:val="18"/>
      <w:szCs w:val="18"/>
    </w:rPr>
  </w:style>
  <w:style w:type="paragraph" w:styleId="12">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8494"/>
      </w:tabs>
      <w:spacing w:line="500" w:lineRule="exact"/>
    </w:pPr>
    <w:rPr>
      <w:rFonts w:eastAsia="黑体"/>
      <w:sz w:val="32"/>
    </w:rPr>
  </w:style>
  <w:style w:type="paragraph" w:styleId="14">
    <w:name w:val="Body Text 2"/>
    <w:basedOn w:val="1"/>
    <w:link w:val="28"/>
    <w:qFormat/>
    <w:uiPriority w:val="0"/>
    <w:pPr>
      <w:spacing w:after="120" w:line="480" w:lineRule="auto"/>
    </w:p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rPr>
  </w:style>
  <w:style w:type="character" w:styleId="19">
    <w:name w:val="page number"/>
    <w:basedOn w:val="17"/>
    <w:qFormat/>
    <w:uiPriority w:val="0"/>
  </w:style>
  <w:style w:type="character" w:styleId="20">
    <w:name w:val="Hyperlink"/>
    <w:qFormat/>
    <w:uiPriority w:val="99"/>
    <w:rPr>
      <w:color w:val="0000FF"/>
      <w:u w:val="single"/>
    </w:rPr>
  </w:style>
  <w:style w:type="character" w:styleId="21">
    <w:name w:val="annotation reference"/>
    <w:semiHidden/>
    <w:qFormat/>
    <w:uiPriority w:val="0"/>
    <w:rPr>
      <w:sz w:val="21"/>
      <w:szCs w:val="21"/>
    </w:rPr>
  </w:style>
  <w:style w:type="character" w:customStyle="1" w:styleId="22">
    <w:name w:val="页眉 Char"/>
    <w:basedOn w:val="17"/>
    <w:link w:val="12"/>
    <w:qFormat/>
    <w:uiPriority w:val="99"/>
    <w:rPr>
      <w:sz w:val="18"/>
      <w:szCs w:val="18"/>
    </w:rPr>
  </w:style>
  <w:style w:type="character" w:customStyle="1" w:styleId="23">
    <w:name w:val="页脚 Char"/>
    <w:basedOn w:val="17"/>
    <w:link w:val="11"/>
    <w:qFormat/>
    <w:uiPriority w:val="99"/>
    <w:rPr>
      <w:sz w:val="18"/>
      <w:szCs w:val="18"/>
    </w:rPr>
  </w:style>
  <w:style w:type="character" w:customStyle="1" w:styleId="24">
    <w:name w:val="标题 1 Char"/>
    <w:basedOn w:val="17"/>
    <w:link w:val="3"/>
    <w:qFormat/>
    <w:uiPriority w:val="0"/>
    <w:rPr>
      <w:rFonts w:ascii="Times New Roman" w:hAnsi="Times New Roman" w:eastAsia="黑体" w:cs="Times New Roman"/>
      <w:b/>
      <w:bCs/>
      <w:kern w:val="44"/>
      <w:sz w:val="32"/>
      <w:szCs w:val="44"/>
    </w:rPr>
  </w:style>
  <w:style w:type="character" w:customStyle="1" w:styleId="25">
    <w:name w:val="标题 2 Char"/>
    <w:basedOn w:val="17"/>
    <w:link w:val="4"/>
    <w:qFormat/>
    <w:uiPriority w:val="0"/>
    <w:rPr>
      <w:rFonts w:ascii="Times New Roman" w:hAnsi="Times New Roman" w:eastAsia="宋体" w:cs="Times New Roman"/>
      <w:bCs/>
      <w:kern w:val="0"/>
      <w:sz w:val="32"/>
      <w:szCs w:val="44"/>
    </w:rPr>
  </w:style>
  <w:style w:type="paragraph" w:customStyle="1" w:styleId="26">
    <w:name w:val="Char"/>
    <w:basedOn w:val="1"/>
    <w:qFormat/>
    <w:uiPriority w:val="0"/>
    <w:pPr>
      <w:widowControl/>
      <w:spacing w:after="160" w:line="240" w:lineRule="exact"/>
      <w:jc w:val="left"/>
    </w:pPr>
    <w:rPr>
      <w:rFonts w:ascii="Arial" w:hAnsi="Arial" w:eastAsia="Times New Roman" w:cs="Verdana"/>
      <w:b/>
      <w:kern w:val="0"/>
      <w:sz w:val="24"/>
      <w:lang w:eastAsia="en-US"/>
    </w:rPr>
  </w:style>
  <w:style w:type="character" w:customStyle="1" w:styleId="27">
    <w:name w:val="正文文本缩进 Char"/>
    <w:basedOn w:val="17"/>
    <w:link w:val="8"/>
    <w:qFormat/>
    <w:uiPriority w:val="0"/>
    <w:rPr>
      <w:rFonts w:ascii="仿宋_GB2312" w:hAnsi="Times New Roman" w:eastAsia="仿宋_GB2312" w:cs="Times New Roman"/>
      <w:sz w:val="32"/>
      <w:szCs w:val="20"/>
    </w:rPr>
  </w:style>
  <w:style w:type="character" w:customStyle="1" w:styleId="28">
    <w:name w:val="正文文本 2 Char"/>
    <w:basedOn w:val="17"/>
    <w:link w:val="14"/>
    <w:qFormat/>
    <w:uiPriority w:val="0"/>
    <w:rPr>
      <w:rFonts w:ascii="Times New Roman" w:hAnsi="Times New Roman" w:eastAsia="宋体" w:cs="Times New Roman"/>
      <w:szCs w:val="24"/>
    </w:rPr>
  </w:style>
  <w:style w:type="paragraph" w:customStyle="1" w:styleId="29">
    <w:name w:val="样式 标题 1 +"/>
    <w:basedOn w:val="3"/>
    <w:qFormat/>
    <w:uiPriority w:val="0"/>
    <w:rPr>
      <w:rFonts w:eastAsia="宋体"/>
      <w:bCs w:val="0"/>
      <w:kern w:val="0"/>
    </w:rPr>
  </w:style>
  <w:style w:type="paragraph" w:customStyle="1" w:styleId="30">
    <w:name w:val="样式 标题 2 + 首行缩进:  1.96 字符"/>
    <w:basedOn w:val="4"/>
    <w:qFormat/>
    <w:uiPriority w:val="0"/>
    <w:pPr>
      <w:ind w:firstLine="627" w:firstLineChars="196"/>
    </w:pPr>
    <w:rPr>
      <w:rFonts w:eastAsia="楷体_GB2312" w:cs="宋体"/>
      <w:bCs w:val="0"/>
      <w:szCs w:val="20"/>
    </w:rPr>
  </w:style>
  <w:style w:type="character" w:customStyle="1" w:styleId="31">
    <w:name w:val="批注框文本 Char"/>
    <w:basedOn w:val="17"/>
    <w:link w:val="10"/>
    <w:semiHidden/>
    <w:qFormat/>
    <w:uiPriority w:val="0"/>
    <w:rPr>
      <w:rFonts w:ascii="Times New Roman" w:hAnsi="Times New Roman" w:eastAsia="宋体" w:cs="Times New Roman"/>
      <w:sz w:val="18"/>
      <w:szCs w:val="18"/>
    </w:rPr>
  </w:style>
  <w:style w:type="character" w:customStyle="1" w:styleId="32">
    <w:name w:val="批注文字 Char"/>
    <w:basedOn w:val="17"/>
    <w:link w:val="5"/>
    <w:semiHidden/>
    <w:qFormat/>
    <w:uiPriority w:val="0"/>
    <w:rPr>
      <w:rFonts w:ascii="Times New Roman" w:hAnsi="Times New Roman" w:eastAsia="宋体" w:cs="Times New Roman"/>
      <w:szCs w:val="24"/>
    </w:rPr>
  </w:style>
  <w:style w:type="paragraph" w:customStyle="1" w:styleId="33">
    <w:name w:val="Char Char3"/>
    <w:basedOn w:val="1"/>
    <w:qFormat/>
    <w:uiPriority w:val="0"/>
  </w:style>
  <w:style w:type="paragraph" w:styleId="34">
    <w:name w:val="List Paragraph"/>
    <w:basedOn w:val="1"/>
    <w:qFormat/>
    <w:uiPriority w:val="34"/>
    <w:pPr>
      <w:ind w:firstLine="420" w:firstLineChars="200"/>
    </w:pPr>
  </w:style>
  <w:style w:type="paragraph" w:customStyle="1" w:styleId="35">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36">
    <w:name w:val="_Style 1"/>
    <w:basedOn w:val="1"/>
    <w:qFormat/>
    <w:uiPriority w:val="0"/>
    <w:pPr>
      <w:widowControl/>
      <w:spacing w:after="160" w:line="240" w:lineRule="exact"/>
      <w:jc w:val="left"/>
    </w:pPr>
    <w:rPr>
      <w:rFonts w:eastAsia="仿宋_GB2312"/>
      <w:sz w:val="32"/>
    </w:rPr>
  </w:style>
  <w:style w:type="paragraph" w:customStyle="1" w:styleId="37">
    <w:name w:val="TOC Heading"/>
    <w:basedOn w:val="3"/>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paragraph" w:customStyle="1" w:styleId="38">
    <w:name w:val="Char Char Char"/>
    <w:basedOn w:val="1"/>
    <w:qFormat/>
    <w:uiPriority w:val="0"/>
    <w:rPr>
      <w:rFonts w:ascii="Tahoma" w:hAnsi="Tahoma"/>
      <w:sz w:val="24"/>
      <w:szCs w:val="20"/>
    </w:rPr>
  </w:style>
  <w:style w:type="paragraph" w:customStyle="1" w:styleId="39">
    <w:name w:val="正文 New"/>
    <w:qFormat/>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5F03EC-125A-4310-83FC-70DB9AF9734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12763</Words>
  <Characters>13228</Characters>
  <Lines>146</Lines>
  <Paragraphs>41</Paragraphs>
  <TotalTime>2</TotalTime>
  <ScaleCrop>false</ScaleCrop>
  <LinksUpToDate>false</LinksUpToDate>
  <CharactersWithSpaces>16571</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2020-10-26T01:11:00Z</dcterms:created>
  <dc:creator>赖旭斌</dc:creator>
  <cp:lastModifiedBy>lenovo</cp:lastModifiedBy>
  <cp:lastPrinted>2025-12-05T09:27:00Z</cp:lastPrinted>
  <dcterms:modified xsi:type="dcterms:W3CDTF">2025-12-16T01:51:50Z</dcterms:modified>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187B697B168F4726B1A823FD42E9E6A4</vt:lpwstr>
  </property>
  <property fmtid="{D5CDD505-2E9C-101B-9397-08002B2CF9AE}" pid="4" name="KSOTemplateDocerSaveRecord">
    <vt:lpwstr>eyJoZGlkIjoiMmJmYTliN2I0NDIwMTQ3MjE1ZDRlNjAwMjVkODBkMjMiLCJ1c2VySWQiOiIzNDgzOTkzNjcifQ==</vt:lpwstr>
  </property>
</Properties>
</file>