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left"/>
        <w:rPr>
          <w:rFonts w:ascii="方正小标宋简体" w:hAnsi="方正小标宋简体" w:eastAsia="方正小标宋简体" w:cs="方正小标宋简体"/>
          <w:bCs/>
          <w:sz w:val="44"/>
        </w:rPr>
      </w:pPr>
      <w:bookmarkStart w:id="0" w:name="_Toc29434_WPSOffice_Level2"/>
      <w:r>
        <w:rPr>
          <w:rFonts w:hint="eastAsia" w:ascii="黑体" w:hAnsi="黑体" w:eastAsia="黑体" w:cs="黑体"/>
          <w:bCs/>
          <w:sz w:val="44"/>
        </w:rPr>
        <w:t>附件1：</w:t>
      </w:r>
    </w:p>
    <w:bookmarkEnd w:id="0"/>
    <w:p>
      <w:pPr>
        <w:snapToGrid w:val="0"/>
        <w:jc w:val="center"/>
        <w:rPr>
          <w:rFonts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增城老城区、老街区专项调查项目采购需求书</w:t>
      </w:r>
    </w:p>
    <w:tbl>
      <w:tblPr>
        <w:tblStyle w:val="7"/>
        <w:tblW w:w="94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1234"/>
        <w:gridCol w:w="7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序号</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类别</w:t>
            </w:r>
          </w:p>
        </w:tc>
        <w:tc>
          <w:tcPr>
            <w:tcW w:w="7270"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采购需求内容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名称</w:t>
            </w:r>
          </w:p>
        </w:tc>
        <w:tc>
          <w:tcPr>
            <w:tcW w:w="7270" w:type="dxa"/>
            <w:vAlign w:val="center"/>
          </w:tcPr>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增城老城区、老街区专项调查项目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项目业主情况</w:t>
            </w:r>
          </w:p>
        </w:tc>
        <w:tc>
          <w:tcPr>
            <w:tcW w:w="7270" w:type="dxa"/>
            <w:vAlign w:val="center"/>
          </w:tcPr>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项目业主：广州市规划和自然资源局增城区分局</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地址：广州市增城区荔城街光明西路108号</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联系电话：82668113</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联系人：刘工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5"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w:t>
            </w:r>
          </w:p>
        </w:tc>
        <w:tc>
          <w:tcPr>
            <w:tcW w:w="1234" w:type="dxa"/>
            <w:vAlign w:val="center"/>
          </w:tcPr>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对响应机构的资质要求</w:t>
            </w:r>
          </w:p>
        </w:tc>
        <w:tc>
          <w:tcPr>
            <w:tcW w:w="7270" w:type="dxa"/>
            <w:vAlign w:val="center"/>
          </w:tcPr>
          <w:p>
            <w:pPr>
              <w:numPr>
                <w:ilvl w:val="255"/>
                <w:numId w:val="0"/>
              </w:num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投标人具有独立承担民事责任的能力，提供以下相关证照的扫描件之一：（1）企业法人提供企业法人营业执照；（2）事业法人提供事业法人登记证；（3）其他组织提供其他组织的营业执照或执业许可证；（4）自然人提供居民身份证等。分支机构投标的，还须提供分支机构的营业执照（执业许可证）扫描件及总公司（总所）出具给分支机构的授权书。</w:t>
            </w:r>
          </w:p>
          <w:p>
            <w:pPr>
              <w:numPr>
                <w:ilvl w:val="255"/>
                <w:numId w:val="0"/>
              </w:num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2.投标人没有处于被责令停业的状态，没有处于被行政主管部门取消投标资格的处罚期内，没有处于财产被接管、冻结、破产的状态。</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3.资质要求：具备在有效期内的城乡规划编制乙级或以上资质。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服务内容和服务要求</w:t>
            </w:r>
          </w:p>
        </w:tc>
        <w:tc>
          <w:tcPr>
            <w:tcW w:w="7270" w:type="dxa"/>
            <w:vAlign w:val="center"/>
          </w:tcPr>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包括但不限于：</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1.项目背景：</w:t>
            </w:r>
            <w:r>
              <w:rPr>
                <w:rFonts w:hint="eastAsia" w:ascii="仿宋_GB2312" w:hAnsi="仿宋_GB2312" w:eastAsia="仿宋_GB2312" w:cs="仿宋_GB2312"/>
                <w:color w:val="auto"/>
                <w:sz w:val="32"/>
                <w:szCs w:val="32"/>
                <w:highlight w:val="none"/>
              </w:rPr>
              <w:t>2025年9月，广东省住房和城乡建设厅制定《广东省老城区和老街区专项调查工作实施方案》，提出开展老城区和老街区专项调查，全面摸清各类保护对象的资源底数，形成一批潜在对象名单和特色保护要素名单，为完善历史文化保护传承体系、加快建设社会主义文化强国、文化强省提供支撑。为深入贯彻落实习近平文化思想及中央城市工作会议精神，依据国家及广东省相关文件要求，结合增城区实际情况，特开展本项目。</w:t>
            </w:r>
          </w:p>
          <w:p>
            <w:pPr>
              <w:snapToGrid w:val="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2.工作依据：</w:t>
            </w:r>
          </w:p>
          <w:p>
            <w:pPr>
              <w:pStyle w:val="4"/>
              <w:widowControl w:val="0"/>
              <w:numPr>
                <w:ilvl w:val="0"/>
                <w:numId w:val="1"/>
              </w:numPr>
              <w:tabs>
                <w:tab w:val="clear" w:pos="0"/>
              </w:tabs>
              <w:snapToGrid w:val="0"/>
              <w:spacing w:before="0" w:beforeAutospacing="0" w:after="0" w:afterAutospacing="0"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《广东省历史文化街区、名镇、名村认定办法》；</w:t>
            </w:r>
          </w:p>
          <w:p>
            <w:pPr>
              <w:pStyle w:val="4"/>
              <w:widowControl w:val="0"/>
              <w:numPr>
                <w:ilvl w:val="0"/>
                <w:numId w:val="1"/>
              </w:numPr>
              <w:tabs>
                <w:tab w:val="clear" w:pos="0"/>
              </w:tabs>
              <w:snapToGrid w:val="0"/>
              <w:spacing w:before="0" w:beforeAutospacing="0" w:after="0" w:afterAutospacing="0"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《广东省历史文化名城名镇名村保护条例》；</w:t>
            </w:r>
          </w:p>
          <w:p>
            <w:pPr>
              <w:pStyle w:val="4"/>
              <w:widowControl w:val="0"/>
              <w:numPr>
                <w:ilvl w:val="0"/>
                <w:numId w:val="1"/>
              </w:numPr>
              <w:tabs>
                <w:tab w:val="clear" w:pos="0"/>
              </w:tabs>
              <w:snapToGrid w:val="0"/>
              <w:spacing w:before="0" w:beforeAutospacing="0" w:after="0" w:afterAutospacing="0"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《广州市历史文化名城保护条例》；</w:t>
            </w:r>
          </w:p>
          <w:p>
            <w:pPr>
              <w:pStyle w:val="4"/>
              <w:widowControl w:val="0"/>
              <w:numPr>
                <w:ilvl w:val="0"/>
                <w:numId w:val="1"/>
              </w:numPr>
              <w:tabs>
                <w:tab w:val="clear" w:pos="0"/>
              </w:tabs>
              <w:snapToGrid w:val="0"/>
              <w:spacing w:before="0" w:beforeAutospacing="0" w:after="0" w:afterAutospacing="0"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其他相关法律、法规、规范性文件等。</w:t>
            </w:r>
          </w:p>
          <w:p>
            <w:pPr>
              <w:snapToGrid w:val="0"/>
              <w:jc w:val="left"/>
              <w:rPr>
                <w:color w:val="auto"/>
                <w:highlight w:val="none"/>
              </w:rPr>
            </w:pPr>
            <w:r>
              <w:rPr>
                <w:rFonts w:hint="eastAsia" w:ascii="仿宋_GB2312" w:hAnsi="仿宋_GB2312" w:eastAsia="仿宋_GB2312" w:cs="仿宋_GB2312"/>
                <w:b/>
                <w:bCs/>
                <w:color w:val="auto"/>
                <w:sz w:val="32"/>
                <w:szCs w:val="32"/>
                <w:highlight w:val="none"/>
              </w:rPr>
              <w:t>3.服务类型：</w:t>
            </w:r>
            <w:r>
              <w:rPr>
                <w:rFonts w:hint="eastAsia" w:ascii="仿宋_GB2312" w:hAnsi="仿宋_GB2312" w:eastAsia="仿宋_GB2312" w:cs="仿宋_GB2312"/>
                <w:color w:val="auto"/>
                <w:sz w:val="32"/>
                <w:szCs w:val="32"/>
                <w:highlight w:val="none"/>
              </w:rPr>
              <w:t>增城老城区、老街区专项调查项目。</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4.服务要求：</w:t>
            </w:r>
            <w:r>
              <w:rPr>
                <w:rFonts w:hint="eastAsia" w:ascii="仿宋_GB2312" w:hAnsi="仿宋_GB2312" w:eastAsia="仿宋_GB2312" w:cs="仿宋_GB2312"/>
                <w:color w:val="auto"/>
                <w:sz w:val="32"/>
                <w:szCs w:val="32"/>
                <w:highlight w:val="none"/>
              </w:rPr>
              <w:t>本次采购服务为编制增城老城区、老街区专项调查的项目成果。</w:t>
            </w:r>
          </w:p>
          <w:p>
            <w:pPr>
              <w:snapToGrid w:val="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5.服务内容：</w:t>
            </w:r>
            <w:bookmarkStart w:id="1" w:name="OLE_LINK10"/>
          </w:p>
          <w:bookmarkEnd w:id="1"/>
          <w:p>
            <w:pPr>
              <w:snapToGrid w:val="0"/>
              <w:spacing w:line="240" w:lineRule="auto"/>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（一）广泛收集线索</w:t>
            </w:r>
          </w:p>
          <w:p>
            <w:pPr>
              <w:snapToGrid w:val="0"/>
              <w:spacing w:line="240" w:lineRule="auto"/>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（1）检索文献影像。搜集查阅增城县志、全区文献档案、出版物，历史和现状影像资料（无人机航拍、卫星遥感、照片、图片、视频等）。</w:t>
            </w:r>
          </w:p>
          <w:p>
            <w:pPr>
              <w:snapToGrid w:val="0"/>
              <w:spacing w:line="240" w:lineRule="auto"/>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（2）用好已有成果。充分利用增城区城乡历史文化保护类专项规划、专题研究、省体系规划推荐的保护对象线索等已有研究成果，加强与第四次全国文物普查工作阶段性成果的对接，深化协同合作。</w:t>
            </w:r>
          </w:p>
          <w:p>
            <w:pPr>
              <w:snapToGrid w:val="0"/>
              <w:spacing w:line="240" w:lineRule="auto"/>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发动社会力量。组织熟悉本地区历史文化和城镇建设历程的专家学者、退休干部、热心群众、社区工作者等熟悉本地区历史文化和城镇建设历程的人员开展座谈、访谈进行定向征集，通过互联网、微博、公众号、市民短信等多种形式向社会公开征集线索，广泛发动社会力量参与。</w:t>
            </w:r>
          </w:p>
          <w:p>
            <w:pPr>
              <w:snapToGrid w:val="0"/>
              <w:spacing w:line="240" w:lineRule="auto"/>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（二）开展实地调查</w:t>
            </w:r>
          </w:p>
          <w:p>
            <w:pPr>
              <w:snapToGrid w:val="0"/>
              <w:spacing w:line="240" w:lineRule="auto"/>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确定重点范围。在对收集资料进行综合分析筛选的基础上，划定重点调查区域。重点识别能体现城镇历史发展过程或某一发展时期风貌、承载城市记忆的老城区和老镇区；体现城镇传统格局、历史风貌、地方特色的老街区和老地段；具有历史风貌和体现地方特色的老建筑、古民居；与城镇历史文化价值和风貌特色密切相关的山水环境、城垣轮廓、历史轴线、视线通廊、街巷肌理、空间节点、历史环境要素等对象，形成一批特色保护对象清单。</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采集现场信息。项目团队进行实地踏勘，拍摄多角度（人视、鸟瞰等）能清晰反映老城区和老街区风貌特征和历史遗存的照片。走访周边居民，详细记录调查对象的历史沿革、相关故事及公众情感记忆等信息。</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（三）形成调查成果</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系统梳理和分析所收集的各类资料与数据，科学评估其历史、艺术、科学及社会价值，初步筛选形成一批历史文化名城、名镇、历史文化街区、历史地段、历史建筑等类型的潜在保护对象名单，并撰写专项调查报告。</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w:t>
            </w:r>
            <w:r>
              <w:rPr>
                <w:rFonts w:ascii="仿宋_GB2312" w:hAnsi="仿宋_GB2312" w:eastAsia="仿宋_GB2312" w:cs="仿宋_GB2312"/>
                <w:color w:val="auto"/>
                <w:sz w:val="32"/>
                <w:szCs w:val="32"/>
                <w:highlight w:val="none"/>
              </w:rPr>
              <w:t>协助</w:t>
            </w:r>
            <w:r>
              <w:rPr>
                <w:rFonts w:hint="eastAsia" w:ascii="仿宋_GB2312" w:hAnsi="仿宋_GB2312" w:eastAsia="仿宋_GB2312" w:cs="仿宋_GB2312"/>
                <w:color w:val="auto"/>
                <w:sz w:val="32"/>
                <w:szCs w:val="32"/>
                <w:highlight w:val="none"/>
              </w:rPr>
              <w:t>完成系统填报</w:t>
            </w:r>
          </w:p>
          <w:p>
            <w:pPr>
              <w:snapToGrid w:val="0"/>
              <w:jc w:val="left"/>
              <w:rPr>
                <w:b/>
                <w:bCs/>
                <w:color w:val="auto"/>
                <w:highlight w:val="none"/>
              </w:rPr>
            </w:pPr>
            <w:r>
              <w:rPr>
                <w:rFonts w:hint="eastAsia" w:ascii="仿宋_GB2312" w:hAnsi="仿宋_GB2312" w:eastAsia="仿宋_GB2312" w:cs="仿宋_GB2312"/>
                <w:color w:val="auto"/>
                <w:sz w:val="32"/>
                <w:szCs w:val="32"/>
                <w:highlight w:val="none"/>
              </w:rPr>
              <w:t>按照省级专项调查系统的统一要求，在指定的“房屋建筑和市政设施调查管理系统”中的“老城区和老街区专项调查”模块内，准确填报经核定的调查对象信息，包括空间位置、属性数据、现场照片等多维度信息，确保成果的规范入库。</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6.进度要求：</w:t>
            </w:r>
            <w:r>
              <w:rPr>
                <w:rFonts w:hint="eastAsia" w:ascii="仿宋_GB2312" w:hAnsi="仿宋_GB2312" w:eastAsia="仿宋_GB2312" w:cs="仿宋_GB2312"/>
                <w:color w:val="auto"/>
                <w:sz w:val="32"/>
                <w:szCs w:val="32"/>
                <w:highlight w:val="none"/>
              </w:rPr>
              <w:t>合同签定后7个月内完成。</w:t>
            </w:r>
          </w:p>
          <w:p>
            <w:pPr>
              <w:snapToGrid w:val="0"/>
              <w:spacing w:line="240" w:lineRule="auto"/>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7.成果要求：</w:t>
            </w:r>
          </w:p>
          <w:p>
            <w:pPr>
              <w:pStyle w:val="3"/>
              <w:tabs>
                <w:tab w:val="left" w:pos="426"/>
              </w:tabs>
              <w:adjustRightInd w:val="0"/>
              <w:snapToGrid w:val="0"/>
              <w:spacing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（一）报告成果</w:t>
            </w:r>
          </w:p>
          <w:p>
            <w:pPr>
              <w:pStyle w:val="3"/>
              <w:tabs>
                <w:tab w:val="left" w:pos="426"/>
              </w:tabs>
              <w:adjustRightInd w:val="0"/>
              <w:snapToGrid w:val="0"/>
              <w:spacing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《增城区老城区和老街区专项调查工作报告》，WORD或PDF格式，A4大小，可提供纸质和电子版。</w:t>
            </w:r>
          </w:p>
          <w:p>
            <w:pPr>
              <w:pStyle w:val="3"/>
              <w:tabs>
                <w:tab w:val="left" w:pos="426"/>
              </w:tabs>
              <w:adjustRightInd w:val="0"/>
              <w:snapToGrid w:val="0"/>
              <w:spacing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（二）基础数据</w:t>
            </w:r>
          </w:p>
          <w:p>
            <w:pPr>
              <w:pStyle w:val="3"/>
              <w:tabs>
                <w:tab w:val="left" w:pos="426"/>
              </w:tabs>
              <w:adjustRightInd w:val="0"/>
              <w:snapToGrid w:val="0"/>
              <w:spacing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增城区老城区和老街区基础信息数据，包括调查登记表、重点调查范围界定说明、现场照片集及相关文献摘编等，WORD或PDF格式，A4大小，可提供纸质和电子版。</w:t>
            </w:r>
          </w:p>
          <w:p>
            <w:pPr>
              <w:pStyle w:val="3"/>
              <w:tabs>
                <w:tab w:val="left" w:pos="426"/>
              </w:tabs>
              <w:adjustRightInd w:val="0"/>
              <w:snapToGrid w:val="0"/>
              <w:spacing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（三）图件成果</w:t>
            </w:r>
          </w:p>
          <w:p>
            <w:pPr>
              <w:pStyle w:val="3"/>
              <w:tabs>
                <w:tab w:val="left" w:pos="426"/>
              </w:tabs>
              <w:adjustRightInd w:val="0"/>
              <w:snapToGrid w:val="0"/>
              <w:spacing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增城区老城区和老街区空间分布图，清晰标示各类调查对象及潜在保护对象的位置，JPG或PDF格式，A4大小，可提供纸质和电子版。</w:t>
            </w:r>
          </w:p>
          <w:p>
            <w:pPr>
              <w:pStyle w:val="3"/>
              <w:tabs>
                <w:tab w:val="left" w:pos="426"/>
              </w:tabs>
              <w:adjustRightInd w:val="0"/>
              <w:snapToGrid w:val="0"/>
              <w:spacing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（四）系统成果</w:t>
            </w:r>
          </w:p>
          <w:p>
            <w:pPr>
              <w:pStyle w:val="3"/>
              <w:tabs>
                <w:tab w:val="left" w:pos="426"/>
              </w:tabs>
              <w:adjustRightInd w:val="0"/>
              <w:snapToGrid w:val="0"/>
              <w:spacing w:line="24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完成审核的增城区老城区和老街区专项调查数据，已按要求录入指定管理系统。</w:t>
            </w:r>
          </w:p>
          <w:p>
            <w:pPr>
              <w:numPr>
                <w:ilvl w:val="0"/>
                <w:numId w:val="2"/>
              </w:num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人员配置及质量要求：</w:t>
            </w:r>
          </w:p>
          <w:p>
            <w:pPr>
              <w:numPr>
                <w:ilvl w:val="0"/>
                <w:numId w:val="3"/>
              </w:num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投标人应具有开展本项目的专业能力，需为本项目配备：1）1名城市（乡）规划专业中级或以上技术职称的项目负责人；2）4-8名专业技术人员的服务团队，需具有规划、建筑、园林、市政专业的中级职称证书及以上职称资格；</w:t>
            </w:r>
          </w:p>
          <w:p>
            <w:pPr>
              <w:numPr>
                <w:ilvl w:val="0"/>
                <w:numId w:val="3"/>
              </w:num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针对项目成果编制有详实可行的工作方案并对项目的全过程进行跟踪服务；</w:t>
            </w:r>
          </w:p>
          <w:p>
            <w:pPr>
              <w:numPr>
                <w:ilvl w:val="0"/>
                <w:numId w:val="3"/>
              </w:num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为保障项目质量水平，需在响应文件中明确相关措施；</w:t>
            </w:r>
          </w:p>
          <w:p>
            <w:pPr>
              <w:numPr>
                <w:ilvl w:val="0"/>
                <w:numId w:val="3"/>
              </w:num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提交的成果深度需满足现行相关法律法规及国家规范和行业标准。</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9.后续（售后）服务要求：本项目完结后在涉及复核审计相关工作时，提供技术交底等工作的配合。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25"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合同履行地点和方式</w:t>
            </w:r>
          </w:p>
        </w:tc>
        <w:tc>
          <w:tcPr>
            <w:tcW w:w="7270" w:type="dxa"/>
            <w:vAlign w:val="center"/>
          </w:tcPr>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1.提供服务的地点：</w:t>
            </w:r>
            <w:r>
              <w:rPr>
                <w:rFonts w:hint="eastAsia" w:ascii="仿宋_GB2312" w:hAnsi="仿宋_GB2312" w:eastAsia="仿宋_GB2312" w:cs="仿宋_GB2312"/>
                <w:color w:val="auto"/>
                <w:sz w:val="32"/>
                <w:szCs w:val="32"/>
                <w:highlight w:val="none"/>
              </w:rPr>
              <w:t>广州市增城区。</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2.履行方式：</w:t>
            </w:r>
            <w:r>
              <w:rPr>
                <w:rFonts w:hint="eastAsia" w:ascii="仿宋_GB2312" w:hAnsi="仿宋_GB2312" w:eastAsia="仿宋_GB2312" w:cs="仿宋_GB2312"/>
                <w:color w:val="auto"/>
                <w:sz w:val="32"/>
                <w:szCs w:val="32"/>
                <w:highlight w:val="none"/>
              </w:rPr>
              <w:t>按国家和省相关规程规范要求按时完成各阶段的工作并保证其成果质量，对项目的全过程进行跟踪服务。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0"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评审方式和计价标准</w:t>
            </w:r>
          </w:p>
        </w:tc>
        <w:tc>
          <w:tcPr>
            <w:tcW w:w="7270" w:type="dxa"/>
            <w:vAlign w:val="center"/>
          </w:tcPr>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1.评审方式：</w:t>
            </w:r>
            <w:r>
              <w:rPr>
                <w:rFonts w:hint="eastAsia" w:ascii="仿宋_GB2312" w:hAnsi="仿宋_GB2312" w:eastAsia="仿宋_GB2312" w:cs="仿宋_GB2312"/>
                <w:color w:val="auto"/>
                <w:sz w:val="32"/>
                <w:szCs w:val="32"/>
                <w:highlight w:val="none"/>
              </w:rPr>
              <w:t>综合评审法。</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2.报价方式：</w:t>
            </w:r>
            <w:r>
              <w:rPr>
                <w:rFonts w:hint="eastAsia" w:ascii="仿宋_GB2312" w:hAnsi="仿宋_GB2312" w:eastAsia="仿宋_GB2312" w:cs="仿宋_GB2312"/>
                <w:color w:val="auto"/>
                <w:sz w:val="32"/>
                <w:szCs w:val="32"/>
                <w:highlight w:val="none"/>
              </w:rPr>
              <w:t>报总价，最高限价24万元整，上述金额含税费。原则上超出最高限价的为无效报价。</w:t>
            </w:r>
          </w:p>
          <w:p>
            <w:pPr>
              <w:snapToGrid w:val="0"/>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如出现异常低价报价，则启动异常低价审查：</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（1）符合性审查通过后，出现下列情形之一的，立即启动异常低价审查：</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1）响应报价低于项目最高限价的45%；</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2）响应报价低于有效报价算术平均值的50%；</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3）响应报价低于有效报价次低报价的50%；</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4）评审小组认为报价明显低于合理成本，可能影响质量与诚信履约的其他情形。</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（2）审查程序</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1）现场质询。评审小组以书面发出质询，要求供应商提交报价合理性说明及成本证明材料。</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2）材料提交。供应商须提交书面说明、成本明细、货源与质量保障等材料；逾期、未按要求提交或拒不说明，视为不能证明合理性。</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3）评审判定。评审小组审核材料真实性、完整性、合理性：</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能证明合理且履约可靠的，报价有效；</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不能证明、存在履约风险的，响应无效，不推荐为成交候选人。</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4）记录归档。全过程记入评审报告，签字确认并存档。</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3.计价标准：</w:t>
            </w:r>
            <w:r>
              <w:rPr>
                <w:rFonts w:hint="eastAsia" w:ascii="仿宋_GB2312" w:hAnsi="仿宋_GB2312" w:eastAsia="仿宋_GB2312" w:cs="仿宋_GB2312"/>
                <w:color w:val="auto"/>
                <w:sz w:val="32"/>
                <w:szCs w:val="32"/>
                <w:highlight w:val="none"/>
              </w:rPr>
              <w:t>参考《城市规划设计计费指导意见》（2017修订稿）收费标准。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七</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服务时间</w:t>
            </w:r>
          </w:p>
        </w:tc>
        <w:tc>
          <w:tcPr>
            <w:tcW w:w="7270" w:type="dxa"/>
            <w:vAlign w:val="center"/>
          </w:tcPr>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本项目采购合同自双方盖公章后生效。本项目服务期为自合同生效之日起7个月。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八</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验收</w:t>
            </w:r>
          </w:p>
        </w:tc>
        <w:tc>
          <w:tcPr>
            <w:tcW w:w="7270" w:type="dxa"/>
            <w:vAlign w:val="center"/>
          </w:tcPr>
          <w:p>
            <w:pPr>
              <w:tabs>
                <w:tab w:val="left" w:pos="312"/>
              </w:tabs>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1.验收主体：</w:t>
            </w:r>
            <w:r>
              <w:rPr>
                <w:rFonts w:hint="eastAsia" w:ascii="仿宋_GB2312" w:hAnsi="仿宋_GB2312" w:eastAsia="仿宋_GB2312" w:cs="仿宋_GB2312"/>
                <w:color w:val="auto"/>
                <w:sz w:val="32"/>
                <w:szCs w:val="32"/>
                <w:highlight w:val="none"/>
              </w:rPr>
              <w:t>采购人。</w:t>
            </w:r>
          </w:p>
          <w:p>
            <w:pPr>
              <w:tabs>
                <w:tab w:val="left" w:pos="312"/>
              </w:tabs>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2.验收时间：</w:t>
            </w:r>
            <w:r>
              <w:rPr>
                <w:rFonts w:hint="eastAsia" w:ascii="仿宋_GB2312" w:hAnsi="仿宋_GB2312" w:eastAsia="仿宋_GB2312" w:cs="仿宋_GB2312"/>
                <w:color w:val="auto"/>
                <w:sz w:val="32"/>
                <w:szCs w:val="32"/>
                <w:highlight w:val="none"/>
              </w:rPr>
              <w:t>至少满足下列条件，方可开展验收。</w:t>
            </w:r>
          </w:p>
          <w:p>
            <w:pPr>
              <w:tabs>
                <w:tab w:val="left" w:pos="312"/>
              </w:tabs>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（1）完成采购人要求的全部工作内容后。</w:t>
            </w:r>
          </w:p>
          <w:p>
            <w:pPr>
              <w:tabs>
                <w:tab w:val="left" w:pos="312"/>
              </w:tabs>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（2）成果内容须符合规定的编制原则、编制规范等要点的规定。</w:t>
            </w:r>
          </w:p>
          <w:p>
            <w:pPr>
              <w:tabs>
                <w:tab w:val="left" w:pos="312"/>
              </w:tabs>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（3）成果报告须做到材料完整，内容齐全。</w:t>
            </w:r>
          </w:p>
          <w:p>
            <w:pPr>
              <w:tabs>
                <w:tab w:val="left" w:pos="312"/>
              </w:tabs>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3.成交供应商提交项目成果的形式：</w:t>
            </w:r>
            <w:r>
              <w:rPr>
                <w:rFonts w:hint="eastAsia" w:ascii="仿宋_GB2312" w:hAnsi="仿宋_GB2312" w:eastAsia="仿宋_GB2312" w:cs="仿宋_GB2312"/>
                <w:color w:val="auto"/>
                <w:sz w:val="32"/>
                <w:szCs w:val="32"/>
                <w:highlight w:val="none"/>
              </w:rPr>
              <w:t>纸质文件、电子文件或者采购人要求的其他形式。</w:t>
            </w:r>
          </w:p>
          <w:p>
            <w:pPr>
              <w:tabs>
                <w:tab w:val="left" w:pos="312"/>
              </w:tabs>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4.验收标准：</w:t>
            </w:r>
            <w:r>
              <w:rPr>
                <w:rFonts w:hint="eastAsia" w:ascii="仿宋_GB2312" w:hAnsi="仿宋_GB2312" w:eastAsia="仿宋_GB2312" w:cs="仿宋_GB2312"/>
                <w:color w:val="auto"/>
                <w:sz w:val="32"/>
                <w:szCs w:val="32"/>
                <w:highlight w:val="none"/>
              </w:rPr>
              <w:t>（1）符合中华人民共和国国家和履约地相关安全质量标准、行业技术规范标准；（2）符合本项目采购文件要求和成交供应商应标文件承诺的相应标准；（3）双方在本项目实施过程中约定的其他相关技术要求。</w:t>
            </w:r>
          </w:p>
          <w:p>
            <w:pPr>
              <w:tabs>
                <w:tab w:val="left" w:pos="312"/>
              </w:tabs>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5.验收不合格的处理方式：负责修编项目成果直至符合主管部门审批要求和合同约定要求。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九</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结算方式</w:t>
            </w:r>
          </w:p>
        </w:tc>
        <w:tc>
          <w:tcPr>
            <w:tcW w:w="7270" w:type="dxa"/>
            <w:vAlign w:val="center"/>
          </w:tcPr>
          <w:p>
            <w:pPr>
              <w:pStyle w:val="8"/>
              <w:numPr>
                <w:ilvl w:val="0"/>
                <w:numId w:val="4"/>
              </w:numPr>
              <w:snapToGrid w:val="0"/>
              <w:ind w:firstLineChars="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本项目分两期付款。</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第一期：合同签订后5个工作日内，成交供应商向采购人提供支付凭证，采购人于财政拨款到位之日起5个工作日内向成交供应商支付人民币12万元。第二期：合同签订后7个月内，成交供应商向采购人提交规划最终成果并经采购人审查通过，成交供应商向采购人提供支付凭证，采购人于财政拨款到位之日起5个工作日内向成交供应商支付合同尾款（即合同总金额扣减已支付金额后的余额）。</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如因政策变动等不可抗力原因或者重大情势变更导致合同全部或者部分不能履行，或继续履行已无意义的，双方可协商修订或者解除本合同。双方解除本合同的，至合同解除时，若成交供应商尚未实际开展工作的，应当在接到采购人解除合同通知之日起5个工作日内一次性将第一期预付款退回；若成交供应商已启动项目并实施但尚未交付最终成果的，双方按照合同第一期费用结算；若成交供应商已完成最终成果编制工作并提交给采购人的，采购人共需支付合同总金额的90%给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违约责任</w:t>
            </w:r>
          </w:p>
        </w:tc>
        <w:tc>
          <w:tcPr>
            <w:tcW w:w="7270" w:type="dxa"/>
            <w:vAlign w:val="center"/>
          </w:tcPr>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1．成交供应商提供的服务不符合采购文件、投标文件或本合同规定的，采购人有权拒收，并且成交供应商须向采购人退还已支付的合同款，并支付本合同总价5%的违约金。</w:t>
            </w:r>
            <w:bookmarkStart w:id="2" w:name="_GoBack"/>
            <w:bookmarkEnd w:id="2"/>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成交供应商未能按采购人要求的时间交付货物的/提供服务，从逾期之日起每日按本合同总价3‰的数额向采购人支付违约金；逾期15天以上（含15天）的，采购人有权解除合同，并要求成交供应商支付本合同总价5%的违约金。</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3．采购人逾期付款，每逾期一天，按逾期支付款项的万分之五向成交供应商偿付违约金，采购人向成交供应商偿付的违约金不超过</w:t>
            </w:r>
            <w:r>
              <w:rPr>
                <w:rFonts w:ascii="仿宋_GB2312" w:hAnsi="仿宋_GB2312" w:eastAsia="仿宋_GB2312" w:cs="仿宋_GB2312"/>
                <w:color w:val="auto"/>
                <w:sz w:val="32"/>
                <w:szCs w:val="32"/>
                <w:highlight w:val="none"/>
              </w:rPr>
              <w:t>未支付款项</w:t>
            </w:r>
            <w:r>
              <w:rPr>
                <w:rFonts w:hint="eastAsia" w:ascii="仿宋_GB2312" w:hAnsi="仿宋_GB2312" w:eastAsia="仿宋_GB2312" w:cs="仿宋_GB2312"/>
                <w:color w:val="auto"/>
                <w:sz w:val="32"/>
                <w:szCs w:val="32"/>
                <w:highlight w:val="none"/>
              </w:rPr>
              <w:t>的5%。</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4．其它违约责任按《中华人民共和国民法典》处理。</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除采购人事先书面同意外，成交供应商不得部分或全部转让、转包或分包其应履行的合同项下的义务，否则采购人有权解除合同，要求成交供应商退还已支付的合同款，并支付本合同总价5%的违约金，给采购人造成的经济损失由成交供应商承担赔偿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十一</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补充合同和</w:t>
            </w:r>
          </w:p>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解决争议方式</w:t>
            </w:r>
          </w:p>
        </w:tc>
        <w:tc>
          <w:tcPr>
            <w:tcW w:w="7270" w:type="dxa"/>
            <w:vAlign w:val="center"/>
          </w:tcPr>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采购合同中如有未尽事宜，双方协商一致后可以签订补充合同，但补充合同不得与《中华人民共和国民法典》的相关管理制度相抵触。</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对于合同履行中出现的纠纷，双方应协商解决。协商不成的，依法向广州市增城区人民法院提起诉讼。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16"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十二</w:t>
            </w:r>
          </w:p>
        </w:tc>
        <w:tc>
          <w:tcPr>
            <w:tcW w:w="1234" w:type="dxa"/>
            <w:vAlign w:val="center"/>
          </w:tcPr>
          <w:p>
            <w:pPr>
              <w:snapToGrid w:val="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备注</w:t>
            </w:r>
          </w:p>
        </w:tc>
        <w:tc>
          <w:tcPr>
            <w:tcW w:w="7270" w:type="dxa"/>
            <w:vAlign w:val="center"/>
          </w:tcPr>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如果监督管理部门对有关服务已经拟定“合同范本”，业主单位、中选机构应当使用有关“合同范本”；如果监督管理部门未有“合同范本”，业主单位、中选机构应当根据《中华人民共和国民法典》等法律法规的规定自行拟定合同。</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2.合同的实质性内容，应当与采购公告、采购结果的内容一致。合同的实质性内容是指合同标的、数量、质量、价款或者报酬、履行期限、履行地点和方式、违约责任和解决争议方法等。 </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3.合同的变更、终止须由双方协商一致，并以书面形式确定，并须适用《中华人民共和国民法典》等法律法规的规定。</w:t>
            </w:r>
          </w:p>
          <w:p>
            <w:pPr>
              <w:snapToGrid w:val="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61479"/>
    <w:multiLevelType w:val="singleLevel"/>
    <w:tmpl w:val="0EF61479"/>
    <w:lvl w:ilvl="0" w:tentative="0">
      <w:start w:val="1"/>
      <w:numFmt w:val="decimal"/>
      <w:suff w:val="nothing"/>
      <w:lvlText w:val="（%1）"/>
      <w:lvlJc w:val="left"/>
      <w:pPr>
        <w:tabs>
          <w:tab w:val="left" w:pos="0"/>
        </w:tabs>
      </w:pPr>
      <w:rPr>
        <w:rFonts w:hint="default" w:ascii="宋体" w:hAnsi="宋体" w:eastAsia="宋体" w:cs="宋体"/>
      </w:rPr>
    </w:lvl>
  </w:abstractNum>
  <w:abstractNum w:abstractNumId="1">
    <w:nsid w:val="1AA96927"/>
    <w:multiLevelType w:val="multilevel"/>
    <w:tmpl w:val="1AA96927"/>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5A1B1B18"/>
    <w:multiLevelType w:val="singleLevel"/>
    <w:tmpl w:val="5A1B1B18"/>
    <w:lvl w:ilvl="0" w:tentative="0">
      <w:start w:val="8"/>
      <w:numFmt w:val="decimal"/>
      <w:lvlText w:val="%1."/>
      <w:lvlJc w:val="left"/>
      <w:pPr>
        <w:tabs>
          <w:tab w:val="left" w:pos="312"/>
        </w:tabs>
      </w:pPr>
    </w:lvl>
  </w:abstractNum>
  <w:abstractNum w:abstractNumId="3">
    <w:nsid w:val="69A513A0"/>
    <w:multiLevelType w:val="singleLevel"/>
    <w:tmpl w:val="69A513A0"/>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7E2B0E"/>
    <w:rsid w:val="004E3FF2"/>
    <w:rsid w:val="00A55D6E"/>
    <w:rsid w:val="00A84F8A"/>
    <w:rsid w:val="00AD4C57"/>
    <w:rsid w:val="00FC6165"/>
    <w:rsid w:val="113E1737"/>
    <w:rsid w:val="1C3D2EE7"/>
    <w:rsid w:val="1DE020FD"/>
    <w:rsid w:val="1E975F79"/>
    <w:rsid w:val="25E52F95"/>
    <w:rsid w:val="2C905372"/>
    <w:rsid w:val="32F6277F"/>
    <w:rsid w:val="335272DA"/>
    <w:rsid w:val="35A0003B"/>
    <w:rsid w:val="432E7466"/>
    <w:rsid w:val="43A72A8A"/>
    <w:rsid w:val="447E2B0E"/>
    <w:rsid w:val="58060B33"/>
    <w:rsid w:val="584B5EC3"/>
    <w:rsid w:val="591B466C"/>
    <w:rsid w:val="594952D9"/>
    <w:rsid w:val="5C765D38"/>
    <w:rsid w:val="60F54D9D"/>
    <w:rsid w:val="61783BB9"/>
    <w:rsid w:val="617F71CF"/>
    <w:rsid w:val="6B7A373C"/>
    <w:rsid w:val="71E80383"/>
    <w:rsid w:val="73F7E476"/>
    <w:rsid w:val="793C633B"/>
    <w:rsid w:val="7B0178F0"/>
    <w:rsid w:val="7E851E34"/>
    <w:rsid w:val="9DAD83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Normal (Web)"/>
    <w:basedOn w:val="1"/>
    <w:qFormat/>
    <w:uiPriority w:val="0"/>
    <w:pPr>
      <w:widowControl/>
      <w:spacing w:before="100" w:beforeAutospacing="1" w:after="100" w:afterAutospacing="1"/>
      <w:jc w:val="left"/>
    </w:pPr>
    <w:rPr>
      <w:rFonts w:ascii="宋体" w:hAnsi="宋体" w:cs="宋体"/>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
    <w:name w:val="列表段落1"/>
    <w:basedOn w:val="1"/>
    <w:qFormat/>
    <w:uiPriority w:val="34"/>
    <w:pPr>
      <w:ind w:firstLine="420" w:firstLineChars="200"/>
    </w:pPr>
  </w:style>
  <w:style w:type="paragraph" w:customStyle="1" w:styleId="9">
    <w:name w:val="Revision"/>
    <w:hidden/>
    <w:unhideWhenUsed/>
    <w:qFormat/>
    <w:uiPriority w:val="99"/>
    <w:pPr>
      <w:spacing w:after="0" w:line="240" w:lineRule="auto"/>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648</Words>
  <Characters>3700</Characters>
  <Lines>30</Lines>
  <Paragraphs>8</Paragraphs>
  <TotalTime>0</TotalTime>
  <ScaleCrop>false</ScaleCrop>
  <LinksUpToDate>false</LinksUpToDate>
  <CharactersWithSpaces>4340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2026-03-02T10:24:00Z</dcterms:created>
  <dc:creator>刘翠娴</dc:creator>
  <cp:lastModifiedBy>刘翠娴</cp:lastModifiedBy>
  <dcterms:modified xsi:type="dcterms:W3CDTF">2026-04-20T07:42:03Z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60C2C211BDA54082A8FB798B628FBA5A</vt:lpwstr>
  </property>
</Properties>
</file>