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napToGrid w:val="0"/>
        <w:spacing w:before="0" w:after="0" w:line="240" w:lineRule="auto"/>
        <w:rPr>
          <w:rFonts w:hint="eastAsia" w:ascii="黑体" w:hAnsi="黑体" w:eastAsia="黑体" w:cs="黑体"/>
          <w:b w:val="0"/>
          <w:bCs w:val="0"/>
          <w:sz w:val="32"/>
          <w:szCs w:val="32"/>
        </w:rPr>
      </w:pPr>
      <w:r>
        <w:rPr>
          <w:rFonts w:hint="eastAsia" w:ascii="黑体" w:hAnsi="黑体" w:eastAsia="黑体" w:cs="黑体"/>
          <w:b w:val="0"/>
          <w:bCs w:val="0"/>
          <w:sz w:val="32"/>
          <w:szCs w:val="32"/>
        </w:rPr>
        <w:t>附件2：</w:t>
      </w:r>
    </w:p>
    <w:tbl>
      <w:tblPr>
        <w:tblStyle w:val="6"/>
        <w:tblW w:w="14141" w:type="dxa"/>
        <w:tblInd w:w="0" w:type="dxa"/>
        <w:tblLayout w:type="fixed"/>
        <w:tblCellMar>
          <w:top w:w="15" w:type="dxa"/>
          <w:left w:w="15" w:type="dxa"/>
          <w:bottom w:w="15" w:type="dxa"/>
          <w:right w:w="15" w:type="dxa"/>
        </w:tblCellMar>
      </w:tblPr>
      <w:tblGrid>
        <w:gridCol w:w="628"/>
        <w:gridCol w:w="614"/>
        <w:gridCol w:w="763"/>
        <w:gridCol w:w="6354"/>
        <w:gridCol w:w="1680"/>
        <w:gridCol w:w="54"/>
        <w:gridCol w:w="980"/>
        <w:gridCol w:w="667"/>
        <w:gridCol w:w="1227"/>
        <w:gridCol w:w="1174"/>
      </w:tblGrid>
      <w:tr>
        <w:tblPrEx>
          <w:tblLayout w:type="fixed"/>
          <w:tblCellMar>
            <w:top w:w="15" w:type="dxa"/>
            <w:left w:w="15" w:type="dxa"/>
            <w:bottom w:w="15" w:type="dxa"/>
            <w:right w:w="15" w:type="dxa"/>
          </w:tblCellMar>
        </w:tblPrEx>
        <w:trPr>
          <w:trHeight w:val="70" w:hRule="atLeast"/>
        </w:trPr>
        <w:tc>
          <w:tcPr>
            <w:tcW w:w="14141" w:type="dxa"/>
            <w:gridSpan w:val="10"/>
            <w:vAlign w:val="center"/>
          </w:tcPr>
          <w:p>
            <w:pPr>
              <w:widowControl/>
              <w:spacing w:line="360" w:lineRule="exact"/>
              <w:jc w:val="center"/>
              <w:textAlignment w:val="center"/>
              <w:rPr>
                <w:rFonts w:hint="eastAsia" w:ascii="仿宋_GB2312" w:hAnsi="宋体" w:eastAsia="仿宋_GB2312" w:cs="仿宋_GB2312"/>
                <w:b/>
                <w:color w:val="000000"/>
                <w:sz w:val="32"/>
                <w:szCs w:val="32"/>
              </w:rPr>
            </w:pPr>
            <w:r>
              <w:rPr>
                <w:rFonts w:hint="eastAsia" w:ascii="仿宋_GB2312" w:hAnsi="宋体" w:eastAsia="仿宋_GB2312" w:cs="仿宋_GB2312"/>
                <w:b/>
                <w:color w:val="000000"/>
                <w:kern w:val="0"/>
                <w:sz w:val="32"/>
                <w:szCs w:val="32"/>
                <w:lang w:bidi="ar"/>
              </w:rPr>
              <w:t>选定服务机构综合评分表</w:t>
            </w:r>
          </w:p>
        </w:tc>
      </w:tr>
      <w:tr>
        <w:tblPrEx>
          <w:tblLayout w:type="fixed"/>
          <w:tblCellMar>
            <w:top w:w="15" w:type="dxa"/>
            <w:left w:w="15" w:type="dxa"/>
            <w:bottom w:w="15" w:type="dxa"/>
            <w:right w:w="15" w:type="dxa"/>
          </w:tblCellMar>
        </w:tblPrEx>
        <w:trPr>
          <w:trHeight w:val="224" w:hRule="atLeast"/>
        </w:trPr>
        <w:tc>
          <w:tcPr>
            <w:tcW w:w="10093"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项目名称：</w:t>
            </w:r>
            <w:r>
              <w:rPr>
                <w:rFonts w:hint="eastAsia" w:ascii="方正小标宋简体" w:hAnsi="方正小标宋简体" w:eastAsia="方正小标宋简体" w:cs="方正小标宋简体"/>
                <w:bCs/>
                <w:sz w:val="36"/>
                <w:szCs w:val="36"/>
              </w:rPr>
              <w:t>增城老城区、老街区专项调查项目</w:t>
            </w:r>
          </w:p>
        </w:tc>
        <w:tc>
          <w:tcPr>
            <w:tcW w:w="4048"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采购单位：广州市规划和自然资源局增城区分局</w:t>
            </w:r>
          </w:p>
        </w:tc>
      </w:tr>
      <w:tr>
        <w:tblPrEx>
          <w:tblLayout w:type="fixed"/>
          <w:tblCellMar>
            <w:top w:w="15" w:type="dxa"/>
            <w:left w:w="15" w:type="dxa"/>
            <w:bottom w:w="15" w:type="dxa"/>
            <w:right w:w="15" w:type="dxa"/>
          </w:tblCellMar>
        </w:tblPrEx>
        <w:trPr>
          <w:trHeight w:val="233" w:hRule="atLeast"/>
        </w:trPr>
        <w:tc>
          <w:tcPr>
            <w:tcW w:w="628"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序号</w:t>
            </w:r>
          </w:p>
        </w:tc>
        <w:tc>
          <w:tcPr>
            <w:tcW w:w="61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类目</w:t>
            </w:r>
          </w:p>
        </w:tc>
        <w:tc>
          <w:tcPr>
            <w:tcW w:w="76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分值</w:t>
            </w:r>
          </w:p>
        </w:tc>
        <w:tc>
          <w:tcPr>
            <w:tcW w:w="8088" w:type="dxa"/>
            <w:gridSpan w:val="3"/>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评分标准</w:t>
            </w:r>
          </w:p>
        </w:tc>
        <w:tc>
          <w:tcPr>
            <w:tcW w:w="4048"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投标单位及得分</w:t>
            </w:r>
          </w:p>
        </w:tc>
      </w:tr>
      <w:tr>
        <w:tblPrEx>
          <w:tblLayout w:type="fixed"/>
          <w:tblCellMar>
            <w:top w:w="15" w:type="dxa"/>
            <w:left w:w="15" w:type="dxa"/>
            <w:bottom w:w="15" w:type="dxa"/>
            <w:right w:w="15" w:type="dxa"/>
          </w:tblCellMar>
        </w:tblPrEx>
        <w:trPr>
          <w:trHeight w:val="152" w:hRule="atLeast"/>
        </w:trPr>
        <w:tc>
          <w:tcPr>
            <w:tcW w:w="62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宋体" w:eastAsia="仿宋_GB2312" w:cs="仿宋_GB2312"/>
                <w:color w:val="000000"/>
                <w:sz w:val="24"/>
              </w:rPr>
            </w:pPr>
          </w:p>
        </w:tc>
        <w:tc>
          <w:tcPr>
            <w:tcW w:w="61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宋体" w:eastAsia="仿宋_GB2312" w:cs="仿宋_GB2312"/>
                <w:color w:val="000000"/>
                <w:sz w:val="24"/>
              </w:rPr>
            </w:pPr>
          </w:p>
        </w:tc>
        <w:tc>
          <w:tcPr>
            <w:tcW w:w="76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宋体" w:eastAsia="仿宋_GB2312" w:cs="仿宋_GB2312"/>
                <w:color w:val="000000"/>
                <w:sz w:val="24"/>
              </w:rPr>
            </w:pPr>
          </w:p>
        </w:tc>
        <w:tc>
          <w:tcPr>
            <w:tcW w:w="8088"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宋体" w:eastAsia="仿宋_GB2312" w:cs="仿宋_GB2312"/>
                <w:color w:val="000000"/>
                <w:sz w:val="24"/>
              </w:rPr>
            </w:pPr>
          </w:p>
        </w:tc>
        <w:tc>
          <w:tcPr>
            <w:tcW w:w="1647"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227" w:type="dxa"/>
            <w:tcBorders>
              <w:top w:val="single" w:color="000000" w:sz="4" w:space="0"/>
              <w:left w:val="single" w:color="000000" w:sz="4" w:space="0"/>
              <w:bottom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174" w:type="dxa"/>
            <w:tcBorders>
              <w:top w:val="single" w:color="000000" w:sz="4" w:space="0"/>
              <w:left w:val="single" w:color="000000" w:sz="4" w:space="0"/>
              <w:bottom w:val="single" w:color="000000" w:sz="4" w:space="0"/>
              <w:right w:val="single" w:color="000000" w:sz="4" w:space="0"/>
            </w:tcBorders>
            <w:vAlign w:val="center"/>
          </w:tcPr>
          <w:p>
            <w:pPr>
              <w:rPr>
                <w:rFonts w:hint="eastAsia" w:ascii="仿宋_GB2312" w:hAnsi="宋体" w:eastAsia="仿宋_GB2312" w:cs="仿宋_GB2312"/>
                <w:color w:val="000000"/>
                <w:sz w:val="24"/>
              </w:rPr>
            </w:pPr>
          </w:p>
        </w:tc>
      </w:tr>
      <w:tr>
        <w:tblPrEx>
          <w:tblLayout w:type="fixed"/>
          <w:tblCellMar>
            <w:top w:w="15" w:type="dxa"/>
            <w:left w:w="15" w:type="dxa"/>
            <w:bottom w:w="15" w:type="dxa"/>
            <w:right w:w="15" w:type="dxa"/>
          </w:tblCellMar>
        </w:tblPrEx>
        <w:trPr>
          <w:trHeight w:val="712" w:hRule="atLeast"/>
        </w:trPr>
        <w:tc>
          <w:tcPr>
            <w:tcW w:w="628"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1</w:t>
            </w:r>
          </w:p>
        </w:tc>
        <w:tc>
          <w:tcPr>
            <w:tcW w:w="61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商务部分</w:t>
            </w:r>
          </w:p>
        </w:tc>
        <w:tc>
          <w:tcPr>
            <w:tcW w:w="76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30</w:t>
            </w:r>
          </w:p>
        </w:tc>
        <w:tc>
          <w:tcPr>
            <w:tcW w:w="8088" w:type="dxa"/>
            <w:gridSpan w:val="3"/>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供应商承担过历史文化技术服务相关项目业绩，每提供一个业绩得6分，最高得30分。</w:t>
            </w:r>
            <w:bookmarkStart w:id="1" w:name="_GoBack"/>
            <w:bookmarkEnd w:id="1"/>
          </w:p>
        </w:tc>
        <w:tc>
          <w:tcPr>
            <w:tcW w:w="1647" w:type="dxa"/>
            <w:gridSpan w:val="2"/>
            <w:vMerge w:val="restart"/>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227" w:type="dxa"/>
            <w:vMerge w:val="restart"/>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174" w:type="dxa"/>
            <w:vMerge w:val="restart"/>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r>
      <w:tr>
        <w:tblPrEx>
          <w:tblLayout w:type="fixed"/>
          <w:tblCellMar>
            <w:top w:w="15" w:type="dxa"/>
            <w:left w:w="15" w:type="dxa"/>
            <w:bottom w:w="15" w:type="dxa"/>
            <w:right w:w="15" w:type="dxa"/>
          </w:tblCellMar>
        </w:tblPrEx>
        <w:trPr>
          <w:trHeight w:val="396" w:hRule="atLeast"/>
        </w:trPr>
        <w:tc>
          <w:tcPr>
            <w:tcW w:w="62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宋体" w:eastAsia="仿宋_GB2312" w:cs="仿宋_GB2312"/>
                <w:color w:val="000000"/>
                <w:sz w:val="24"/>
              </w:rPr>
            </w:pPr>
          </w:p>
        </w:tc>
        <w:tc>
          <w:tcPr>
            <w:tcW w:w="61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宋体" w:eastAsia="仿宋_GB2312" w:cs="仿宋_GB2312"/>
                <w:color w:val="000000"/>
                <w:sz w:val="24"/>
              </w:rPr>
            </w:pPr>
          </w:p>
        </w:tc>
        <w:tc>
          <w:tcPr>
            <w:tcW w:w="76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宋体" w:eastAsia="仿宋_GB2312" w:cs="仿宋_GB2312"/>
                <w:color w:val="000000"/>
                <w:sz w:val="24"/>
              </w:rPr>
            </w:pPr>
          </w:p>
        </w:tc>
        <w:tc>
          <w:tcPr>
            <w:tcW w:w="8088" w:type="dxa"/>
            <w:gridSpan w:val="3"/>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_GB2312" w:hAnsi="宋体" w:eastAsia="仿宋_GB2312" w:cs="仿宋_GB2312"/>
                <w:color w:val="000000"/>
                <w:sz w:val="24"/>
              </w:rPr>
            </w:pPr>
            <w:bookmarkStart w:id="0" w:name="OLE_LINK16"/>
            <w:r>
              <w:rPr>
                <w:rFonts w:hint="eastAsia" w:ascii="仿宋_GB2312" w:hAnsi="宋体" w:eastAsia="仿宋_GB2312" w:cs="仿宋_GB2312"/>
                <w:color w:val="000000"/>
                <w:kern w:val="0"/>
                <w:sz w:val="24"/>
                <w:lang w:bidi="ar"/>
              </w:rPr>
              <w:t>注：</w:t>
            </w:r>
            <w:bookmarkEnd w:id="0"/>
            <w:r>
              <w:rPr>
                <w:rFonts w:hint="eastAsia" w:ascii="仿宋_GB2312" w:hAnsi="宋体" w:eastAsia="仿宋_GB2312" w:cs="仿宋_GB2312"/>
                <w:color w:val="000000"/>
                <w:kern w:val="0"/>
                <w:sz w:val="24"/>
                <w:lang w:bidi="ar"/>
              </w:rPr>
              <w:t>需提供项目合同复印件,否则不得分。</w:t>
            </w:r>
          </w:p>
        </w:tc>
        <w:tc>
          <w:tcPr>
            <w:tcW w:w="1647" w:type="dxa"/>
            <w:gridSpan w:val="2"/>
            <w:vMerge w:val="continue"/>
            <w:tcBorders>
              <w:left w:val="single" w:color="000000" w:sz="4" w:space="0"/>
              <w:bottom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227" w:type="dxa"/>
            <w:vMerge w:val="continue"/>
            <w:tcBorders>
              <w:left w:val="single" w:color="000000" w:sz="4" w:space="0"/>
              <w:bottom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174" w:type="dxa"/>
            <w:vMerge w:val="continue"/>
            <w:tcBorders>
              <w:left w:val="single" w:color="000000" w:sz="4" w:space="0"/>
              <w:bottom w:val="single" w:color="000000" w:sz="4" w:space="0"/>
              <w:right w:val="single" w:color="000000" w:sz="4" w:space="0"/>
            </w:tcBorders>
            <w:vAlign w:val="center"/>
          </w:tcPr>
          <w:p>
            <w:pPr>
              <w:rPr>
                <w:rFonts w:hint="eastAsia" w:ascii="仿宋_GB2312" w:hAnsi="宋体" w:eastAsia="仿宋_GB2312" w:cs="仿宋_GB2312"/>
                <w:color w:val="000000"/>
                <w:sz w:val="24"/>
              </w:rPr>
            </w:pPr>
          </w:p>
        </w:tc>
      </w:tr>
      <w:tr>
        <w:tblPrEx>
          <w:tblLayout w:type="fixed"/>
          <w:tblCellMar>
            <w:top w:w="15" w:type="dxa"/>
            <w:left w:w="15" w:type="dxa"/>
            <w:bottom w:w="15" w:type="dxa"/>
            <w:right w:w="15" w:type="dxa"/>
          </w:tblCellMar>
        </w:tblPrEx>
        <w:trPr>
          <w:trHeight w:val="761" w:hRule="atLeast"/>
        </w:trPr>
        <w:tc>
          <w:tcPr>
            <w:tcW w:w="628"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2</w:t>
            </w:r>
          </w:p>
        </w:tc>
        <w:tc>
          <w:tcPr>
            <w:tcW w:w="61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sz w:val="24"/>
              </w:rPr>
              <w:t>拟投入的项目团队</w:t>
            </w:r>
          </w:p>
        </w:tc>
        <w:tc>
          <w:tcPr>
            <w:tcW w:w="76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30</w:t>
            </w:r>
          </w:p>
        </w:tc>
        <w:tc>
          <w:tcPr>
            <w:tcW w:w="8088" w:type="dxa"/>
            <w:gridSpan w:val="3"/>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1、拟派项目负责人情况：具有城市（乡）规划副高级工程师(或以上)职称，得10分，具有城市（乡）规划中级职称，得5分；本项最多得10分。</w:t>
            </w:r>
          </w:p>
        </w:tc>
        <w:tc>
          <w:tcPr>
            <w:tcW w:w="1647" w:type="dxa"/>
            <w:gridSpan w:val="2"/>
            <w:vMerge w:val="restart"/>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227" w:type="dxa"/>
            <w:vMerge w:val="restart"/>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174" w:type="dxa"/>
            <w:vMerge w:val="restart"/>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r>
      <w:tr>
        <w:tblPrEx>
          <w:tblLayout w:type="fixed"/>
          <w:tblCellMar>
            <w:top w:w="15" w:type="dxa"/>
            <w:left w:w="15" w:type="dxa"/>
            <w:bottom w:w="15" w:type="dxa"/>
            <w:right w:w="15" w:type="dxa"/>
          </w:tblCellMar>
        </w:tblPrEx>
        <w:trPr>
          <w:trHeight w:val="716" w:hRule="atLeast"/>
        </w:trPr>
        <w:tc>
          <w:tcPr>
            <w:tcW w:w="628"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kern w:val="0"/>
                <w:sz w:val="24"/>
                <w:lang w:bidi="ar"/>
              </w:rPr>
            </w:pPr>
          </w:p>
        </w:tc>
        <w:tc>
          <w:tcPr>
            <w:tcW w:w="6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sz w:val="24"/>
              </w:rPr>
            </w:pPr>
          </w:p>
        </w:tc>
        <w:tc>
          <w:tcPr>
            <w:tcW w:w="763"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kern w:val="0"/>
                <w:sz w:val="24"/>
                <w:lang w:bidi="ar"/>
              </w:rPr>
            </w:pPr>
          </w:p>
        </w:tc>
        <w:tc>
          <w:tcPr>
            <w:tcW w:w="8088" w:type="dxa"/>
            <w:gridSpan w:val="3"/>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_GB2312" w:hAnsi="宋体" w:eastAsia="仿宋_GB2312" w:cs="仿宋_GB2312"/>
                <w:color w:val="000000"/>
                <w:kern w:val="0"/>
                <w:sz w:val="24"/>
                <w:lang w:bidi="ar"/>
              </w:rPr>
            </w:pPr>
            <w:r>
              <w:rPr>
                <w:rFonts w:hint="eastAsia" w:ascii="仿宋_GB2312" w:hAnsi="宋体" w:eastAsia="仿宋_GB2312" w:cs="仿宋_GB2312"/>
                <w:color w:val="000000"/>
                <w:kern w:val="0"/>
                <w:sz w:val="24"/>
                <w:lang w:bidi="ar"/>
              </w:rPr>
              <w:t>除项目负责人外，团队其他技术人员（4-8个）需包含规划、建筑、园林、市政专业：</w:t>
            </w:r>
          </w:p>
          <w:p>
            <w:pPr>
              <w:widowControl/>
              <w:jc w:val="left"/>
              <w:textAlignment w:val="center"/>
              <w:rPr>
                <w:rFonts w:hint="eastAsia" w:ascii="仿宋_GB2312" w:hAnsi="宋体" w:eastAsia="仿宋_GB2312" w:cs="仿宋_GB2312"/>
                <w:color w:val="000000"/>
                <w:kern w:val="0"/>
                <w:sz w:val="24"/>
                <w:lang w:bidi="ar"/>
              </w:rPr>
            </w:pPr>
            <w:r>
              <w:rPr>
                <w:rFonts w:hint="eastAsia" w:ascii="仿宋_GB2312" w:hAnsi="宋体" w:eastAsia="仿宋_GB2312" w:cs="仿宋_GB2312"/>
                <w:color w:val="000000"/>
                <w:kern w:val="0"/>
                <w:sz w:val="24"/>
                <w:lang w:bidi="ar"/>
              </w:rPr>
              <w:t>每提供一个专业高级(或以上)职称，得5分；</w:t>
            </w:r>
          </w:p>
          <w:p>
            <w:pPr>
              <w:widowControl/>
              <w:jc w:val="left"/>
              <w:textAlignment w:val="center"/>
              <w:rPr>
                <w:rFonts w:hint="eastAsia" w:ascii="仿宋_GB2312" w:hAnsi="宋体" w:eastAsia="仿宋_GB2312" w:cs="仿宋_GB2312"/>
                <w:color w:val="000000"/>
                <w:kern w:val="0"/>
                <w:sz w:val="24"/>
                <w:lang w:bidi="ar"/>
              </w:rPr>
            </w:pPr>
            <w:r>
              <w:rPr>
                <w:rFonts w:hint="eastAsia" w:ascii="仿宋_GB2312" w:hAnsi="宋体" w:eastAsia="仿宋_GB2312" w:cs="仿宋_GB2312"/>
                <w:color w:val="000000"/>
                <w:kern w:val="0"/>
                <w:sz w:val="24"/>
                <w:lang w:bidi="ar"/>
              </w:rPr>
              <w:t>每提供一个专业中级职称，得2分；</w:t>
            </w:r>
          </w:p>
          <w:p>
            <w:pPr>
              <w:widowControl/>
              <w:jc w:val="left"/>
              <w:textAlignment w:val="center"/>
            </w:pPr>
            <w:r>
              <w:rPr>
                <w:rFonts w:hint="eastAsia" w:ascii="仿宋_GB2312" w:hAnsi="宋体" w:eastAsia="仿宋_GB2312" w:cs="仿宋_GB2312"/>
                <w:color w:val="000000"/>
                <w:kern w:val="0"/>
                <w:sz w:val="24"/>
                <w:lang w:bidi="ar"/>
              </w:rPr>
              <w:t>同一人同时提供中级和高级（或以上）职称证书的，按级别高的计分；同一人同时提供不同专业的同一级别职称证书的，按一个专业计分。按本项最多得20分。</w:t>
            </w:r>
          </w:p>
        </w:tc>
        <w:tc>
          <w:tcPr>
            <w:tcW w:w="1647" w:type="dxa"/>
            <w:gridSpan w:val="2"/>
            <w:vMerge w:val="continue"/>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227" w:type="dxa"/>
            <w:vMerge w:val="continue"/>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174" w:type="dxa"/>
            <w:vMerge w:val="continue"/>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r>
      <w:tr>
        <w:tblPrEx>
          <w:tblLayout w:type="fixed"/>
          <w:tblCellMar>
            <w:top w:w="15" w:type="dxa"/>
            <w:left w:w="15" w:type="dxa"/>
            <w:bottom w:w="15" w:type="dxa"/>
            <w:right w:w="15" w:type="dxa"/>
          </w:tblCellMar>
        </w:tblPrEx>
        <w:trPr>
          <w:trHeight w:val="815" w:hRule="atLeast"/>
        </w:trPr>
        <w:tc>
          <w:tcPr>
            <w:tcW w:w="628"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kern w:val="0"/>
                <w:sz w:val="24"/>
                <w:lang w:bidi="ar"/>
              </w:rPr>
            </w:pPr>
          </w:p>
        </w:tc>
        <w:tc>
          <w:tcPr>
            <w:tcW w:w="6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sz w:val="24"/>
              </w:rPr>
            </w:pPr>
          </w:p>
        </w:tc>
        <w:tc>
          <w:tcPr>
            <w:tcW w:w="763"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kern w:val="0"/>
                <w:sz w:val="24"/>
                <w:lang w:bidi="ar"/>
              </w:rPr>
            </w:pPr>
          </w:p>
        </w:tc>
        <w:tc>
          <w:tcPr>
            <w:tcW w:w="8088" w:type="dxa"/>
            <w:gridSpan w:val="3"/>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_GB2312" w:hAnsi="宋体" w:eastAsia="仿宋_GB2312" w:cs="仿宋_GB2312"/>
                <w:color w:val="000000"/>
                <w:sz w:val="24"/>
              </w:rPr>
            </w:pPr>
            <w:r>
              <w:rPr>
                <w:rFonts w:hint="eastAsia" w:ascii="仿宋_GB2312" w:hAnsi="宋体" w:eastAsia="仿宋_GB2312" w:cs="仿宋_GB2312"/>
                <w:kern w:val="0"/>
                <w:sz w:val="24"/>
                <w:lang w:bidi="ar"/>
              </w:rPr>
              <w:t>注：须提供相应的资格证书、职称证复印件，</w:t>
            </w:r>
            <w:r>
              <w:rPr>
                <w:rFonts w:hint="eastAsia" w:ascii="仿宋_GB2312" w:hAnsi="宋体" w:eastAsia="仿宋_GB2312" w:cs="仿宋_GB2312"/>
                <w:color w:val="000000"/>
                <w:sz w:val="24"/>
              </w:rPr>
              <w:t>响应截止时间前三个月内任意一个月在本单位缴纳的社保证明复印件。</w:t>
            </w:r>
          </w:p>
        </w:tc>
        <w:tc>
          <w:tcPr>
            <w:tcW w:w="1647" w:type="dxa"/>
            <w:gridSpan w:val="2"/>
            <w:vMerge w:val="continue"/>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227" w:type="dxa"/>
            <w:vMerge w:val="continue"/>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174" w:type="dxa"/>
            <w:vMerge w:val="continue"/>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r>
      <w:tr>
        <w:tblPrEx>
          <w:tblLayout w:type="fixed"/>
          <w:tblCellMar>
            <w:top w:w="15" w:type="dxa"/>
            <w:left w:w="15" w:type="dxa"/>
            <w:bottom w:w="15" w:type="dxa"/>
            <w:right w:w="15" w:type="dxa"/>
          </w:tblCellMar>
        </w:tblPrEx>
        <w:trPr>
          <w:trHeight w:val="319" w:hRule="atLeast"/>
        </w:trPr>
        <w:tc>
          <w:tcPr>
            <w:tcW w:w="628"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3</w:t>
            </w:r>
          </w:p>
        </w:tc>
        <w:tc>
          <w:tcPr>
            <w:tcW w:w="61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sz w:val="24"/>
              </w:rPr>
            </w:pPr>
            <w:r>
              <w:rPr>
                <w:rFonts w:hint="eastAsia" w:ascii="仿宋_GB2312" w:hAnsi="宋体" w:eastAsia="仿宋_GB2312" w:cs="仿宋_GB2312"/>
                <w:kern w:val="0"/>
                <w:sz w:val="24"/>
                <w:lang w:bidi="ar"/>
              </w:rPr>
              <w:t>工作方案</w:t>
            </w:r>
          </w:p>
        </w:tc>
        <w:tc>
          <w:tcPr>
            <w:tcW w:w="76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仿宋_GB2312" w:hAnsi="宋体" w:eastAsia="仿宋_GB2312" w:cs="仿宋_GB2312"/>
                <w:sz w:val="24"/>
                <w:lang w:val="en-US" w:eastAsia="zh-CN"/>
              </w:rPr>
            </w:pPr>
            <w:r>
              <w:rPr>
                <w:rFonts w:hint="eastAsia" w:ascii="仿宋_GB2312" w:hAnsi="宋体" w:eastAsia="仿宋_GB2312" w:cs="仿宋_GB2312"/>
                <w:kern w:val="0"/>
                <w:sz w:val="24"/>
                <w:lang w:val="en-US" w:eastAsia="zh-CN" w:bidi="ar"/>
              </w:rPr>
              <w:t>20</w:t>
            </w:r>
          </w:p>
        </w:tc>
        <w:tc>
          <w:tcPr>
            <w:tcW w:w="8088" w:type="dxa"/>
            <w:gridSpan w:val="3"/>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_GB2312" w:hAnsi="宋体" w:eastAsia="仿宋_GB2312" w:cs="仿宋_GB2312"/>
                <w:kern w:val="0"/>
                <w:sz w:val="24"/>
                <w:lang w:bidi="ar"/>
              </w:rPr>
            </w:pPr>
            <w:r>
              <w:rPr>
                <w:rFonts w:hint="eastAsia" w:ascii="仿宋_GB2312" w:hAnsi="宋体" w:eastAsia="仿宋_GB2312" w:cs="仿宋_GB2312"/>
                <w:kern w:val="0"/>
                <w:sz w:val="24"/>
                <w:lang w:bidi="ar"/>
              </w:rPr>
              <w:t>1、有技术路线，能有效保障调查工作的科学性和可行性，针对增城区老城区和老街区专项调查有扎实的调查工作基础研究的，得20-16分；</w:t>
            </w:r>
          </w:p>
        </w:tc>
        <w:tc>
          <w:tcPr>
            <w:tcW w:w="1647" w:type="dxa"/>
            <w:gridSpan w:val="2"/>
            <w:vMerge w:val="restart"/>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227" w:type="dxa"/>
            <w:vMerge w:val="restart"/>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174" w:type="dxa"/>
            <w:vMerge w:val="restart"/>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r>
      <w:tr>
        <w:tblPrEx>
          <w:tblLayout w:type="fixed"/>
          <w:tblCellMar>
            <w:top w:w="15" w:type="dxa"/>
            <w:left w:w="15" w:type="dxa"/>
            <w:bottom w:w="15" w:type="dxa"/>
            <w:right w:w="15" w:type="dxa"/>
          </w:tblCellMar>
        </w:tblPrEx>
        <w:trPr>
          <w:trHeight w:val="319" w:hRule="atLeast"/>
        </w:trPr>
        <w:tc>
          <w:tcPr>
            <w:tcW w:w="628"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kern w:val="0"/>
                <w:sz w:val="24"/>
                <w:lang w:bidi="ar"/>
              </w:rPr>
            </w:pPr>
          </w:p>
        </w:tc>
        <w:tc>
          <w:tcPr>
            <w:tcW w:w="6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kern w:val="0"/>
                <w:sz w:val="24"/>
                <w:lang w:bidi="ar"/>
              </w:rPr>
            </w:pPr>
          </w:p>
        </w:tc>
        <w:tc>
          <w:tcPr>
            <w:tcW w:w="763"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kern w:val="0"/>
                <w:sz w:val="24"/>
                <w:lang w:bidi="ar"/>
              </w:rPr>
            </w:pPr>
          </w:p>
        </w:tc>
        <w:tc>
          <w:tcPr>
            <w:tcW w:w="8088" w:type="dxa"/>
            <w:gridSpan w:val="3"/>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_GB2312" w:hAnsi="宋体" w:eastAsia="仿宋_GB2312" w:cs="仿宋_GB2312"/>
                <w:kern w:val="0"/>
                <w:sz w:val="24"/>
                <w:lang w:bidi="ar"/>
              </w:rPr>
            </w:pPr>
            <w:r>
              <w:rPr>
                <w:rFonts w:hint="eastAsia" w:ascii="仿宋_GB2312" w:hAnsi="宋体" w:eastAsia="仿宋_GB2312" w:cs="仿宋_GB2312"/>
                <w:color w:val="000000"/>
                <w:kern w:val="0"/>
                <w:sz w:val="24"/>
                <w:lang w:bidi="ar"/>
              </w:rPr>
              <w:t>2、有技术路线，能基本保障调查工作的科学性和可行性，针对增城区老城区和老街区专项调查有一定的调查工作基础研究的，得15-8分；</w:t>
            </w:r>
          </w:p>
        </w:tc>
        <w:tc>
          <w:tcPr>
            <w:tcW w:w="1647" w:type="dxa"/>
            <w:gridSpan w:val="2"/>
            <w:vMerge w:val="continue"/>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227" w:type="dxa"/>
            <w:vMerge w:val="continue"/>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174" w:type="dxa"/>
            <w:vMerge w:val="continue"/>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r>
      <w:tr>
        <w:tblPrEx>
          <w:tblLayout w:type="fixed"/>
          <w:tblCellMar>
            <w:top w:w="15" w:type="dxa"/>
            <w:left w:w="15" w:type="dxa"/>
            <w:bottom w:w="15" w:type="dxa"/>
            <w:right w:w="15" w:type="dxa"/>
          </w:tblCellMar>
        </w:tblPrEx>
        <w:trPr>
          <w:trHeight w:val="319" w:hRule="atLeast"/>
        </w:trPr>
        <w:tc>
          <w:tcPr>
            <w:tcW w:w="628"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kern w:val="0"/>
                <w:sz w:val="24"/>
                <w:lang w:bidi="ar"/>
              </w:rPr>
            </w:pPr>
          </w:p>
        </w:tc>
        <w:tc>
          <w:tcPr>
            <w:tcW w:w="6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kern w:val="0"/>
                <w:sz w:val="24"/>
                <w:lang w:bidi="ar"/>
              </w:rPr>
            </w:pPr>
          </w:p>
        </w:tc>
        <w:tc>
          <w:tcPr>
            <w:tcW w:w="763"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kern w:val="0"/>
                <w:sz w:val="24"/>
                <w:lang w:bidi="ar"/>
              </w:rPr>
            </w:pPr>
          </w:p>
        </w:tc>
        <w:tc>
          <w:tcPr>
            <w:tcW w:w="8088" w:type="dxa"/>
            <w:gridSpan w:val="3"/>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_GB2312" w:hAnsi="宋体" w:eastAsia="仿宋_GB2312" w:cs="仿宋_GB2312"/>
                <w:kern w:val="0"/>
                <w:sz w:val="24"/>
                <w:lang w:bidi="ar"/>
              </w:rPr>
            </w:pPr>
            <w:r>
              <w:rPr>
                <w:rFonts w:hint="eastAsia" w:ascii="仿宋_GB2312" w:hAnsi="宋体" w:eastAsia="仿宋_GB2312" w:cs="仿宋_GB2312"/>
                <w:color w:val="000000"/>
                <w:kern w:val="0"/>
                <w:sz w:val="24"/>
                <w:lang w:bidi="ar"/>
              </w:rPr>
              <w:t>3、有技术路线，技术方法和手段存在不足，无增城区老城区和老街区专项调查工作基础研究的，得7-1分；</w:t>
            </w:r>
          </w:p>
        </w:tc>
        <w:tc>
          <w:tcPr>
            <w:tcW w:w="1647" w:type="dxa"/>
            <w:gridSpan w:val="2"/>
            <w:vMerge w:val="continue"/>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227" w:type="dxa"/>
            <w:vMerge w:val="continue"/>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174" w:type="dxa"/>
            <w:vMerge w:val="continue"/>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r>
      <w:tr>
        <w:tblPrEx>
          <w:tblLayout w:type="fixed"/>
          <w:tblCellMar>
            <w:top w:w="15" w:type="dxa"/>
            <w:left w:w="15" w:type="dxa"/>
            <w:bottom w:w="15" w:type="dxa"/>
            <w:right w:w="15" w:type="dxa"/>
          </w:tblCellMar>
        </w:tblPrEx>
        <w:trPr>
          <w:trHeight w:val="319" w:hRule="atLeast"/>
        </w:trPr>
        <w:tc>
          <w:tcPr>
            <w:tcW w:w="628"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kern w:val="0"/>
                <w:sz w:val="24"/>
                <w:lang w:bidi="ar"/>
              </w:rPr>
            </w:pPr>
          </w:p>
        </w:tc>
        <w:tc>
          <w:tcPr>
            <w:tcW w:w="61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kern w:val="0"/>
                <w:sz w:val="24"/>
                <w:lang w:bidi="ar"/>
              </w:rPr>
            </w:pPr>
          </w:p>
        </w:tc>
        <w:tc>
          <w:tcPr>
            <w:tcW w:w="763"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kern w:val="0"/>
                <w:sz w:val="24"/>
                <w:lang w:bidi="ar"/>
              </w:rPr>
            </w:pPr>
          </w:p>
        </w:tc>
        <w:tc>
          <w:tcPr>
            <w:tcW w:w="8088" w:type="dxa"/>
            <w:gridSpan w:val="3"/>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_GB2312" w:hAnsi="宋体" w:eastAsia="仿宋_GB2312" w:cs="仿宋_GB2312"/>
                <w:kern w:val="0"/>
                <w:sz w:val="24"/>
                <w:lang w:bidi="ar"/>
              </w:rPr>
            </w:pPr>
            <w:r>
              <w:rPr>
                <w:rFonts w:hint="eastAsia" w:ascii="仿宋_GB2312" w:hAnsi="宋体" w:eastAsia="仿宋_GB2312" w:cs="仿宋_GB2312"/>
                <w:color w:val="000000"/>
                <w:kern w:val="0"/>
                <w:sz w:val="24"/>
                <w:lang w:bidi="ar"/>
              </w:rPr>
              <w:t>4、无技术路线，无增城区老城区和老街区专项调查工作基础研究的，不得分。</w:t>
            </w:r>
          </w:p>
        </w:tc>
        <w:tc>
          <w:tcPr>
            <w:tcW w:w="1647" w:type="dxa"/>
            <w:gridSpan w:val="2"/>
            <w:vMerge w:val="continue"/>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227" w:type="dxa"/>
            <w:vMerge w:val="continue"/>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174" w:type="dxa"/>
            <w:vMerge w:val="continue"/>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r>
      <w:tr>
        <w:tblPrEx>
          <w:tblLayout w:type="fixed"/>
          <w:tblCellMar>
            <w:top w:w="15" w:type="dxa"/>
            <w:left w:w="15" w:type="dxa"/>
            <w:bottom w:w="15" w:type="dxa"/>
            <w:right w:w="15" w:type="dxa"/>
          </w:tblCellMar>
        </w:tblPrEx>
        <w:trPr>
          <w:trHeight w:val="446" w:hRule="atLeast"/>
        </w:trPr>
        <w:tc>
          <w:tcPr>
            <w:tcW w:w="628"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kern w:val="0"/>
                <w:sz w:val="24"/>
                <w:lang w:bidi="ar"/>
              </w:rPr>
            </w:pPr>
            <w:r>
              <w:rPr>
                <w:rFonts w:hint="eastAsia" w:ascii="仿宋_GB2312" w:hAnsi="宋体" w:eastAsia="仿宋_GB2312" w:cs="仿宋_GB2312"/>
                <w:color w:val="000000"/>
                <w:kern w:val="0"/>
                <w:sz w:val="24"/>
                <w:lang w:bidi="ar"/>
              </w:rPr>
              <w:t>4</w:t>
            </w:r>
          </w:p>
        </w:tc>
        <w:tc>
          <w:tcPr>
            <w:tcW w:w="614"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kern w:val="0"/>
                <w:sz w:val="24"/>
                <w:lang w:bidi="ar"/>
              </w:rPr>
            </w:pPr>
            <w:r>
              <w:rPr>
                <w:rFonts w:hint="eastAsia" w:ascii="仿宋_GB2312" w:hAnsi="宋体" w:eastAsia="仿宋_GB2312" w:cs="仿宋_GB2312"/>
                <w:color w:val="000000"/>
                <w:kern w:val="0"/>
                <w:sz w:val="24"/>
                <w:lang w:bidi="ar"/>
              </w:rPr>
              <w:t>项目质量保障措施</w:t>
            </w:r>
          </w:p>
        </w:tc>
        <w:tc>
          <w:tcPr>
            <w:tcW w:w="763"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kern w:val="0"/>
                <w:sz w:val="24"/>
                <w:lang w:eastAsia="zh-CN" w:bidi="ar"/>
              </w:rPr>
            </w:pPr>
            <w:r>
              <w:rPr>
                <w:rFonts w:hint="eastAsia" w:ascii="仿宋_GB2312" w:hAnsi="宋体" w:eastAsia="仿宋_GB2312" w:cs="仿宋_GB2312"/>
                <w:color w:val="000000"/>
                <w:kern w:val="0"/>
                <w:sz w:val="24"/>
                <w:lang w:val="en-US" w:eastAsia="zh-CN" w:bidi="ar"/>
              </w:rPr>
              <w:t>5</w:t>
            </w:r>
          </w:p>
        </w:tc>
        <w:tc>
          <w:tcPr>
            <w:tcW w:w="8088" w:type="dxa"/>
            <w:gridSpan w:val="3"/>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_GB2312" w:hAnsi="宋体" w:eastAsia="仿宋_GB2312" w:cs="仿宋_GB2312"/>
                <w:color w:val="000000"/>
                <w:kern w:val="0"/>
                <w:sz w:val="24"/>
                <w:lang w:bidi="ar"/>
              </w:rPr>
            </w:pPr>
            <w:r>
              <w:rPr>
                <w:rFonts w:hint="eastAsia" w:ascii="仿宋_GB2312" w:hAnsi="宋体" w:eastAsia="仿宋_GB2312" w:cs="仿宋_GB2312"/>
                <w:color w:val="000000"/>
                <w:kern w:val="0"/>
                <w:sz w:val="24"/>
                <w:lang w:bidi="ar"/>
              </w:rPr>
              <w:t>1、有完善的项目质量保障措施，从服务保障、技术保障等方面确保能满足增城区老城区和老街区专项调查采购需求的，得5-4分；</w:t>
            </w:r>
          </w:p>
        </w:tc>
        <w:tc>
          <w:tcPr>
            <w:tcW w:w="1647" w:type="dxa"/>
            <w:gridSpan w:val="2"/>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227" w:type="dxa"/>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174" w:type="dxa"/>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r>
      <w:tr>
        <w:tblPrEx>
          <w:tblLayout w:type="fixed"/>
          <w:tblCellMar>
            <w:top w:w="15" w:type="dxa"/>
            <w:left w:w="15" w:type="dxa"/>
            <w:bottom w:w="15" w:type="dxa"/>
            <w:right w:w="15" w:type="dxa"/>
          </w:tblCellMar>
        </w:tblPrEx>
        <w:trPr>
          <w:trHeight w:val="446" w:hRule="atLeast"/>
        </w:trPr>
        <w:tc>
          <w:tcPr>
            <w:tcW w:w="628" w:type="dxa"/>
            <w:vMerge w:val="continue"/>
            <w:tcBorders>
              <w:left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kern w:val="0"/>
                <w:sz w:val="24"/>
                <w:lang w:bidi="ar"/>
              </w:rPr>
            </w:pPr>
          </w:p>
        </w:tc>
        <w:tc>
          <w:tcPr>
            <w:tcW w:w="614" w:type="dxa"/>
            <w:vMerge w:val="continue"/>
            <w:tcBorders>
              <w:left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kern w:val="0"/>
                <w:sz w:val="24"/>
                <w:lang w:bidi="ar"/>
              </w:rPr>
            </w:pPr>
          </w:p>
        </w:tc>
        <w:tc>
          <w:tcPr>
            <w:tcW w:w="763" w:type="dxa"/>
            <w:vMerge w:val="continue"/>
            <w:tcBorders>
              <w:left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kern w:val="0"/>
                <w:sz w:val="24"/>
                <w:lang w:bidi="ar"/>
              </w:rPr>
            </w:pPr>
          </w:p>
        </w:tc>
        <w:tc>
          <w:tcPr>
            <w:tcW w:w="8088" w:type="dxa"/>
            <w:gridSpan w:val="3"/>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_GB2312" w:hAnsi="宋体" w:eastAsia="仿宋_GB2312" w:cs="仿宋_GB2312"/>
                <w:color w:val="000000"/>
                <w:kern w:val="0"/>
                <w:sz w:val="24"/>
                <w:lang w:bidi="ar"/>
              </w:rPr>
            </w:pPr>
            <w:r>
              <w:rPr>
                <w:rFonts w:hint="eastAsia" w:ascii="仿宋_GB2312" w:hAnsi="宋体" w:eastAsia="仿宋_GB2312" w:cs="仿宋_GB2312"/>
                <w:color w:val="000000"/>
                <w:kern w:val="0"/>
                <w:sz w:val="24"/>
                <w:lang w:bidi="ar"/>
              </w:rPr>
              <w:t>2、有一定的项目质量保障措施，能基本满足增城区老城区和老街区专项调查采购需求的，得3-2分；</w:t>
            </w:r>
          </w:p>
        </w:tc>
        <w:tc>
          <w:tcPr>
            <w:tcW w:w="1647" w:type="dxa"/>
            <w:gridSpan w:val="2"/>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227" w:type="dxa"/>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174" w:type="dxa"/>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r>
      <w:tr>
        <w:tblPrEx>
          <w:tblLayout w:type="fixed"/>
          <w:tblCellMar>
            <w:top w:w="15" w:type="dxa"/>
            <w:left w:w="15" w:type="dxa"/>
            <w:bottom w:w="15" w:type="dxa"/>
            <w:right w:w="15" w:type="dxa"/>
          </w:tblCellMar>
        </w:tblPrEx>
        <w:trPr>
          <w:trHeight w:val="446" w:hRule="atLeast"/>
        </w:trPr>
        <w:tc>
          <w:tcPr>
            <w:tcW w:w="628" w:type="dxa"/>
            <w:vMerge w:val="continue"/>
            <w:tcBorders>
              <w:left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kern w:val="0"/>
                <w:sz w:val="24"/>
                <w:lang w:bidi="ar"/>
              </w:rPr>
            </w:pPr>
          </w:p>
        </w:tc>
        <w:tc>
          <w:tcPr>
            <w:tcW w:w="614" w:type="dxa"/>
            <w:vMerge w:val="continue"/>
            <w:tcBorders>
              <w:left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kern w:val="0"/>
                <w:sz w:val="24"/>
                <w:lang w:bidi="ar"/>
              </w:rPr>
            </w:pPr>
          </w:p>
        </w:tc>
        <w:tc>
          <w:tcPr>
            <w:tcW w:w="763" w:type="dxa"/>
            <w:vMerge w:val="continue"/>
            <w:tcBorders>
              <w:left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kern w:val="0"/>
                <w:sz w:val="24"/>
                <w:lang w:bidi="ar"/>
              </w:rPr>
            </w:pPr>
          </w:p>
        </w:tc>
        <w:tc>
          <w:tcPr>
            <w:tcW w:w="8088" w:type="dxa"/>
            <w:gridSpan w:val="3"/>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_GB2312" w:hAnsi="宋体" w:eastAsia="仿宋_GB2312" w:cs="仿宋_GB2312"/>
                <w:color w:val="000000"/>
                <w:kern w:val="0"/>
                <w:sz w:val="24"/>
                <w:lang w:bidi="ar"/>
              </w:rPr>
            </w:pPr>
            <w:r>
              <w:rPr>
                <w:rFonts w:hint="eastAsia" w:ascii="仿宋_GB2312" w:hAnsi="宋体" w:eastAsia="仿宋_GB2312" w:cs="仿宋_GB2312"/>
                <w:color w:val="000000"/>
                <w:kern w:val="0"/>
                <w:sz w:val="24"/>
                <w:lang w:bidi="ar"/>
              </w:rPr>
              <w:t>3、项目质量保障措施不足，不能满足增城区老城区和老街区专项调查采购需求的，得1分；</w:t>
            </w:r>
          </w:p>
        </w:tc>
        <w:tc>
          <w:tcPr>
            <w:tcW w:w="1647" w:type="dxa"/>
            <w:gridSpan w:val="2"/>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227" w:type="dxa"/>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174" w:type="dxa"/>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r>
      <w:tr>
        <w:tblPrEx>
          <w:tblLayout w:type="fixed"/>
          <w:tblCellMar>
            <w:top w:w="15" w:type="dxa"/>
            <w:left w:w="15" w:type="dxa"/>
            <w:bottom w:w="15" w:type="dxa"/>
            <w:right w:w="15" w:type="dxa"/>
          </w:tblCellMar>
        </w:tblPrEx>
        <w:trPr>
          <w:trHeight w:val="446" w:hRule="atLeast"/>
        </w:trPr>
        <w:tc>
          <w:tcPr>
            <w:tcW w:w="628" w:type="dxa"/>
            <w:vMerge w:val="continue"/>
            <w:tcBorders>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kern w:val="0"/>
                <w:sz w:val="24"/>
                <w:lang w:bidi="ar"/>
              </w:rPr>
            </w:pPr>
          </w:p>
        </w:tc>
        <w:tc>
          <w:tcPr>
            <w:tcW w:w="614" w:type="dxa"/>
            <w:vMerge w:val="continue"/>
            <w:tcBorders>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kern w:val="0"/>
                <w:sz w:val="24"/>
                <w:lang w:bidi="ar"/>
              </w:rPr>
            </w:pPr>
          </w:p>
        </w:tc>
        <w:tc>
          <w:tcPr>
            <w:tcW w:w="763" w:type="dxa"/>
            <w:vMerge w:val="continue"/>
            <w:tcBorders>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kern w:val="0"/>
                <w:sz w:val="24"/>
                <w:lang w:bidi="ar"/>
              </w:rPr>
            </w:pPr>
          </w:p>
        </w:tc>
        <w:tc>
          <w:tcPr>
            <w:tcW w:w="8088" w:type="dxa"/>
            <w:gridSpan w:val="3"/>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_GB2312" w:hAnsi="宋体" w:eastAsia="仿宋_GB2312" w:cs="仿宋_GB2312"/>
                <w:color w:val="000000"/>
                <w:kern w:val="0"/>
                <w:sz w:val="24"/>
                <w:lang w:bidi="ar"/>
              </w:rPr>
            </w:pPr>
            <w:r>
              <w:rPr>
                <w:rFonts w:hint="eastAsia" w:ascii="仿宋_GB2312" w:hAnsi="宋体" w:eastAsia="仿宋_GB2312" w:cs="仿宋_GB2312"/>
                <w:color w:val="000000"/>
                <w:kern w:val="0"/>
                <w:sz w:val="24"/>
                <w:lang w:bidi="ar"/>
              </w:rPr>
              <w:t>4、无质量保障措施的，不得分。</w:t>
            </w:r>
          </w:p>
        </w:tc>
        <w:tc>
          <w:tcPr>
            <w:tcW w:w="1647" w:type="dxa"/>
            <w:gridSpan w:val="2"/>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227" w:type="dxa"/>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174" w:type="dxa"/>
            <w:tcBorders>
              <w:top w:val="single" w:color="000000" w:sz="4" w:space="0"/>
              <w:left w:val="single" w:color="000000" w:sz="4" w:space="0"/>
              <w:right w:val="single" w:color="000000" w:sz="4" w:space="0"/>
            </w:tcBorders>
            <w:vAlign w:val="center"/>
          </w:tcPr>
          <w:p>
            <w:pPr>
              <w:rPr>
                <w:rFonts w:hint="eastAsia" w:ascii="仿宋_GB2312" w:hAnsi="宋体" w:eastAsia="仿宋_GB2312" w:cs="仿宋_GB2312"/>
                <w:color w:val="000000"/>
                <w:sz w:val="24"/>
              </w:rPr>
            </w:pPr>
          </w:p>
        </w:tc>
      </w:tr>
      <w:tr>
        <w:tblPrEx>
          <w:tblLayout w:type="fixed"/>
          <w:tblCellMar>
            <w:top w:w="15" w:type="dxa"/>
            <w:left w:w="15" w:type="dxa"/>
            <w:bottom w:w="15" w:type="dxa"/>
            <w:right w:w="15" w:type="dxa"/>
          </w:tblCellMar>
        </w:tblPrEx>
        <w:trPr>
          <w:trHeight w:val="522" w:hRule="atLeast"/>
        </w:trPr>
        <w:tc>
          <w:tcPr>
            <w:tcW w:w="628" w:type="dxa"/>
            <w:vMerge w:val="restart"/>
            <w:tcBorders>
              <w:top w:val="single" w:color="000000" w:sz="4" w:space="0"/>
              <w:left w:val="single" w:color="000000" w:sz="4" w:space="0"/>
              <w:right w:val="single" w:color="000000" w:sz="4" w:space="0"/>
            </w:tcBorders>
            <w:vAlign w:val="center"/>
          </w:tcPr>
          <w:p>
            <w:pPr>
              <w:jc w:val="center"/>
              <w:rPr>
                <w:rFonts w:hint="eastAsia" w:ascii="仿宋_GB2312" w:hAnsi="宋体" w:eastAsia="仿宋_GB2312" w:cs="仿宋_GB2312"/>
                <w:color w:val="000000"/>
                <w:sz w:val="24"/>
              </w:rPr>
            </w:pPr>
            <w:r>
              <w:rPr>
                <w:rFonts w:hint="eastAsia" w:ascii="仿宋_GB2312" w:hAnsi="宋体" w:eastAsia="仿宋_GB2312" w:cs="仿宋_GB2312"/>
                <w:color w:val="000000"/>
                <w:sz w:val="24"/>
              </w:rPr>
              <w:t>5</w:t>
            </w:r>
          </w:p>
        </w:tc>
        <w:tc>
          <w:tcPr>
            <w:tcW w:w="614" w:type="dxa"/>
            <w:vMerge w:val="restart"/>
            <w:tcBorders>
              <w:top w:val="single" w:color="000000" w:sz="4" w:space="0"/>
              <w:left w:val="single" w:color="000000" w:sz="4" w:space="0"/>
              <w:right w:val="single" w:color="000000" w:sz="4" w:space="0"/>
            </w:tcBorders>
            <w:vAlign w:val="center"/>
          </w:tcPr>
          <w:p>
            <w:pPr>
              <w:jc w:val="center"/>
              <w:rPr>
                <w:rFonts w:hint="eastAsia" w:ascii="仿宋_GB2312" w:hAnsi="宋体" w:eastAsia="仿宋_GB2312" w:cs="仿宋_GB2312"/>
                <w:color w:val="000000"/>
                <w:sz w:val="24"/>
              </w:rPr>
            </w:pPr>
            <w:r>
              <w:rPr>
                <w:rFonts w:hint="eastAsia" w:ascii="仿宋_GB2312" w:hAnsi="宋体" w:eastAsia="仿宋_GB2312" w:cs="仿宋_GB2312"/>
                <w:color w:val="000000"/>
                <w:sz w:val="24"/>
              </w:rPr>
              <w:t>报价</w:t>
            </w:r>
          </w:p>
        </w:tc>
        <w:tc>
          <w:tcPr>
            <w:tcW w:w="763" w:type="dxa"/>
            <w:vMerge w:val="restart"/>
            <w:tcBorders>
              <w:top w:val="single" w:color="000000" w:sz="4" w:space="0"/>
              <w:left w:val="single" w:color="000000" w:sz="4" w:space="0"/>
              <w:right w:val="single" w:color="000000" w:sz="4" w:space="0"/>
            </w:tcBorders>
            <w:vAlign w:val="center"/>
          </w:tcPr>
          <w:p>
            <w:pPr>
              <w:jc w:val="center"/>
              <w:rPr>
                <w:rFonts w:hint="eastAsia" w:ascii="仿宋_GB2312" w:hAnsi="宋体" w:eastAsia="仿宋_GB2312" w:cs="仿宋_GB2312"/>
                <w:color w:val="000000"/>
                <w:sz w:val="24"/>
              </w:rPr>
            </w:pPr>
            <w:r>
              <w:rPr>
                <w:rFonts w:hint="eastAsia" w:ascii="仿宋_GB2312" w:hAnsi="宋体" w:eastAsia="仿宋_GB2312" w:cs="仿宋_GB2312"/>
                <w:color w:val="000000"/>
                <w:sz w:val="24"/>
              </w:rPr>
              <w:t>15</w:t>
            </w:r>
          </w:p>
        </w:tc>
        <w:tc>
          <w:tcPr>
            <w:tcW w:w="8088" w:type="dxa"/>
            <w:gridSpan w:val="3"/>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_GB2312" w:hAnsi="宋体" w:eastAsia="仿宋_GB2312" w:cs="仿宋_GB2312"/>
                <w:color w:val="000000"/>
                <w:kern w:val="0"/>
                <w:sz w:val="24"/>
                <w:lang w:bidi="ar"/>
              </w:rPr>
            </w:pPr>
            <w:r>
              <w:rPr>
                <w:rFonts w:hint="eastAsia" w:ascii="仿宋_GB2312" w:hAnsi="宋体" w:eastAsia="仿宋_GB2312" w:cs="仿宋_GB2312"/>
                <w:color w:val="000000"/>
                <w:kern w:val="0"/>
                <w:sz w:val="24"/>
                <w:lang w:bidi="ar"/>
              </w:rPr>
              <w:t>投标报价得分＝（评标基准价/投标报价）×价格分值。</w:t>
            </w:r>
          </w:p>
        </w:tc>
        <w:tc>
          <w:tcPr>
            <w:tcW w:w="1647" w:type="dxa"/>
            <w:gridSpan w:val="2"/>
            <w:tcBorders>
              <w:left w:val="single" w:color="000000" w:sz="4" w:space="0"/>
              <w:bottom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227" w:type="dxa"/>
            <w:tcBorders>
              <w:left w:val="single" w:color="000000" w:sz="4" w:space="0"/>
              <w:bottom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174" w:type="dxa"/>
            <w:tcBorders>
              <w:left w:val="single" w:color="000000" w:sz="4" w:space="0"/>
              <w:bottom w:val="single" w:color="000000" w:sz="4" w:space="0"/>
              <w:right w:val="single" w:color="000000" w:sz="4" w:space="0"/>
            </w:tcBorders>
            <w:vAlign w:val="center"/>
          </w:tcPr>
          <w:p>
            <w:pPr>
              <w:rPr>
                <w:rFonts w:hint="eastAsia" w:ascii="仿宋_GB2312" w:hAnsi="宋体" w:eastAsia="仿宋_GB2312" w:cs="仿宋_GB2312"/>
                <w:color w:val="000000"/>
                <w:sz w:val="24"/>
              </w:rPr>
            </w:pPr>
          </w:p>
        </w:tc>
      </w:tr>
      <w:tr>
        <w:tblPrEx>
          <w:tblLayout w:type="fixed"/>
          <w:tblCellMar>
            <w:top w:w="15" w:type="dxa"/>
            <w:left w:w="15" w:type="dxa"/>
            <w:bottom w:w="15" w:type="dxa"/>
            <w:right w:w="15" w:type="dxa"/>
          </w:tblCellMar>
        </w:tblPrEx>
        <w:trPr>
          <w:trHeight w:val="275" w:hRule="atLeast"/>
        </w:trPr>
        <w:tc>
          <w:tcPr>
            <w:tcW w:w="628" w:type="dxa"/>
            <w:vMerge w:val="continue"/>
            <w:tcBorders>
              <w:left w:val="single" w:color="000000" w:sz="4" w:space="0"/>
              <w:bottom w:val="single" w:color="000000" w:sz="4" w:space="0"/>
              <w:right w:val="single" w:color="000000" w:sz="4" w:space="0"/>
            </w:tcBorders>
            <w:vAlign w:val="center"/>
          </w:tcPr>
          <w:p>
            <w:pPr>
              <w:jc w:val="center"/>
              <w:rPr>
                <w:rFonts w:hint="eastAsia" w:ascii="仿宋_GB2312" w:hAnsi="宋体" w:eastAsia="仿宋_GB2312" w:cs="仿宋_GB2312"/>
                <w:color w:val="000000"/>
                <w:sz w:val="24"/>
              </w:rPr>
            </w:pPr>
          </w:p>
        </w:tc>
        <w:tc>
          <w:tcPr>
            <w:tcW w:w="614" w:type="dxa"/>
            <w:vMerge w:val="continue"/>
            <w:tcBorders>
              <w:left w:val="single" w:color="000000" w:sz="4" w:space="0"/>
              <w:bottom w:val="single" w:color="000000" w:sz="4" w:space="0"/>
              <w:right w:val="single" w:color="000000" w:sz="4" w:space="0"/>
            </w:tcBorders>
            <w:vAlign w:val="center"/>
          </w:tcPr>
          <w:p>
            <w:pPr>
              <w:jc w:val="center"/>
              <w:rPr>
                <w:rFonts w:hint="eastAsia" w:ascii="仿宋_GB2312" w:hAnsi="宋体" w:eastAsia="仿宋_GB2312" w:cs="仿宋_GB2312"/>
                <w:color w:val="000000"/>
                <w:sz w:val="24"/>
              </w:rPr>
            </w:pPr>
          </w:p>
        </w:tc>
        <w:tc>
          <w:tcPr>
            <w:tcW w:w="763" w:type="dxa"/>
            <w:vMerge w:val="continue"/>
            <w:tcBorders>
              <w:left w:val="single" w:color="000000" w:sz="4" w:space="0"/>
              <w:bottom w:val="single" w:color="000000" w:sz="4" w:space="0"/>
              <w:right w:val="single" w:color="000000" w:sz="4" w:space="0"/>
            </w:tcBorders>
            <w:vAlign w:val="center"/>
          </w:tcPr>
          <w:p>
            <w:pPr>
              <w:jc w:val="center"/>
              <w:rPr>
                <w:rFonts w:hint="eastAsia" w:ascii="仿宋_GB2312" w:hAnsi="宋体" w:eastAsia="仿宋_GB2312" w:cs="仿宋_GB2312"/>
                <w:color w:val="000000"/>
                <w:sz w:val="24"/>
              </w:rPr>
            </w:pPr>
          </w:p>
        </w:tc>
        <w:tc>
          <w:tcPr>
            <w:tcW w:w="8088" w:type="dxa"/>
            <w:gridSpan w:val="3"/>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_GB2312" w:hAnsi="宋体" w:eastAsia="仿宋_GB2312" w:cs="仿宋_GB2312"/>
                <w:color w:val="000000"/>
                <w:kern w:val="0"/>
                <w:sz w:val="24"/>
                <w:lang w:bidi="ar"/>
              </w:rPr>
            </w:pPr>
            <w:r>
              <w:rPr>
                <w:rFonts w:hint="eastAsia" w:ascii="仿宋_GB2312" w:hAnsi="宋体" w:eastAsia="仿宋_GB2312" w:cs="仿宋_GB2312"/>
                <w:color w:val="000000"/>
                <w:kern w:val="0"/>
                <w:sz w:val="24"/>
                <w:lang w:bidi="ar"/>
              </w:rPr>
              <w:t>注：满足招标文件要求且投标价格最低的投标报价为评标基准价，最低报价不是中标的唯一依据。</w:t>
            </w:r>
          </w:p>
        </w:tc>
        <w:tc>
          <w:tcPr>
            <w:tcW w:w="1647" w:type="dxa"/>
            <w:gridSpan w:val="2"/>
            <w:tcBorders>
              <w:left w:val="single" w:color="000000" w:sz="4" w:space="0"/>
              <w:bottom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227" w:type="dxa"/>
            <w:tcBorders>
              <w:left w:val="single" w:color="000000" w:sz="4" w:space="0"/>
              <w:bottom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174" w:type="dxa"/>
            <w:tcBorders>
              <w:left w:val="single" w:color="000000" w:sz="4" w:space="0"/>
              <w:bottom w:val="single" w:color="000000" w:sz="4" w:space="0"/>
              <w:right w:val="single" w:color="000000" w:sz="4" w:space="0"/>
            </w:tcBorders>
            <w:vAlign w:val="center"/>
          </w:tcPr>
          <w:p>
            <w:pPr>
              <w:rPr>
                <w:rFonts w:hint="eastAsia" w:ascii="仿宋_GB2312" w:hAnsi="宋体" w:eastAsia="仿宋_GB2312" w:cs="仿宋_GB2312"/>
                <w:color w:val="000000"/>
                <w:sz w:val="24"/>
              </w:rPr>
            </w:pPr>
          </w:p>
        </w:tc>
      </w:tr>
      <w:tr>
        <w:tblPrEx>
          <w:tblLayout w:type="fixed"/>
          <w:tblCellMar>
            <w:top w:w="15" w:type="dxa"/>
            <w:left w:w="15" w:type="dxa"/>
            <w:bottom w:w="15" w:type="dxa"/>
            <w:right w:w="15" w:type="dxa"/>
          </w:tblCellMar>
        </w:tblPrEx>
        <w:trPr>
          <w:trHeight w:val="224" w:hRule="atLeast"/>
        </w:trPr>
        <w:tc>
          <w:tcPr>
            <w:tcW w:w="10093"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总得分</w:t>
            </w:r>
          </w:p>
        </w:tc>
        <w:tc>
          <w:tcPr>
            <w:tcW w:w="1647"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227" w:type="dxa"/>
            <w:tcBorders>
              <w:top w:val="single" w:color="000000" w:sz="4" w:space="0"/>
              <w:left w:val="single" w:color="000000" w:sz="4" w:space="0"/>
              <w:bottom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174" w:type="dxa"/>
            <w:tcBorders>
              <w:top w:val="single" w:color="000000" w:sz="4" w:space="0"/>
              <w:left w:val="single" w:color="000000" w:sz="4" w:space="0"/>
              <w:bottom w:val="single" w:color="000000" w:sz="4" w:space="0"/>
              <w:right w:val="single" w:color="000000" w:sz="4" w:space="0"/>
            </w:tcBorders>
            <w:vAlign w:val="center"/>
          </w:tcPr>
          <w:p>
            <w:pPr>
              <w:rPr>
                <w:rFonts w:hint="eastAsia" w:ascii="仿宋_GB2312" w:hAnsi="宋体" w:eastAsia="仿宋_GB2312" w:cs="仿宋_GB2312"/>
                <w:color w:val="000000"/>
                <w:sz w:val="24"/>
              </w:rPr>
            </w:pPr>
          </w:p>
        </w:tc>
      </w:tr>
      <w:tr>
        <w:tblPrEx>
          <w:tblLayout w:type="fixed"/>
          <w:tblCellMar>
            <w:top w:w="15" w:type="dxa"/>
            <w:left w:w="15" w:type="dxa"/>
            <w:bottom w:w="15" w:type="dxa"/>
            <w:right w:w="15" w:type="dxa"/>
          </w:tblCellMar>
        </w:tblPrEx>
        <w:trPr>
          <w:trHeight w:val="224" w:hRule="atLeast"/>
        </w:trPr>
        <w:tc>
          <w:tcPr>
            <w:tcW w:w="10093"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得分排名</w:t>
            </w:r>
          </w:p>
        </w:tc>
        <w:tc>
          <w:tcPr>
            <w:tcW w:w="1647"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227" w:type="dxa"/>
            <w:tcBorders>
              <w:top w:val="single" w:color="000000" w:sz="4" w:space="0"/>
              <w:left w:val="single" w:color="000000" w:sz="4" w:space="0"/>
              <w:bottom w:val="single" w:color="000000" w:sz="4" w:space="0"/>
              <w:right w:val="single" w:color="000000" w:sz="4" w:space="0"/>
            </w:tcBorders>
            <w:vAlign w:val="center"/>
          </w:tcPr>
          <w:p>
            <w:pPr>
              <w:rPr>
                <w:rFonts w:hint="eastAsia" w:ascii="仿宋_GB2312" w:hAnsi="宋体" w:eastAsia="仿宋_GB2312" w:cs="仿宋_GB2312"/>
                <w:color w:val="000000"/>
                <w:sz w:val="24"/>
              </w:rPr>
            </w:pPr>
          </w:p>
        </w:tc>
        <w:tc>
          <w:tcPr>
            <w:tcW w:w="1174" w:type="dxa"/>
            <w:tcBorders>
              <w:top w:val="single" w:color="000000" w:sz="4" w:space="0"/>
              <w:left w:val="single" w:color="000000" w:sz="4" w:space="0"/>
              <w:bottom w:val="single" w:color="000000" w:sz="4" w:space="0"/>
              <w:right w:val="single" w:color="000000" w:sz="4" w:space="0"/>
            </w:tcBorders>
            <w:vAlign w:val="center"/>
          </w:tcPr>
          <w:p>
            <w:pPr>
              <w:rPr>
                <w:rFonts w:hint="eastAsia" w:ascii="仿宋_GB2312" w:hAnsi="宋体" w:eastAsia="仿宋_GB2312" w:cs="仿宋_GB2312"/>
                <w:color w:val="000000"/>
                <w:sz w:val="24"/>
              </w:rPr>
            </w:pPr>
          </w:p>
        </w:tc>
      </w:tr>
      <w:tr>
        <w:tblPrEx>
          <w:tblLayout w:type="fixed"/>
          <w:tblCellMar>
            <w:top w:w="15" w:type="dxa"/>
            <w:left w:w="15" w:type="dxa"/>
            <w:bottom w:w="15" w:type="dxa"/>
            <w:right w:w="15" w:type="dxa"/>
          </w:tblCellMar>
        </w:tblPrEx>
        <w:trPr>
          <w:trHeight w:val="1288" w:hRule="atLeast"/>
        </w:trPr>
        <w:tc>
          <w:tcPr>
            <w:tcW w:w="14141" w:type="dxa"/>
            <w:gridSpan w:val="10"/>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方正楷体_GBK" w:hAnsi="方正楷体_GBK" w:eastAsia="方正楷体_GBK" w:cs="方正楷体_GBK"/>
                <w:color w:val="000000"/>
                <w:sz w:val="24"/>
              </w:rPr>
            </w:pPr>
            <w:r>
              <w:rPr>
                <w:rFonts w:hint="eastAsia" w:ascii="方正楷体_GBK" w:hAnsi="方正楷体_GBK" w:eastAsia="方正楷体_GBK" w:cs="方正楷体_GBK"/>
                <w:kern w:val="0"/>
                <w:sz w:val="24"/>
                <w:lang w:bidi="ar"/>
              </w:rPr>
              <w:t>备注:1.所投入人员必须为响应供应商本单位人员，所有人员须提供近三个月在本响应供应商单位购买社保缴纳证明材料，提供证明资料的清晰扫描件并加盖响应供应商单位章，否则不计分。</w:t>
            </w:r>
            <w:r>
              <w:rPr>
                <w:rFonts w:hint="eastAsia" w:ascii="方正楷体_GBK" w:hAnsi="方正楷体_GBK" w:eastAsia="方正楷体_GBK" w:cs="方正楷体_GBK"/>
                <w:kern w:val="0"/>
                <w:sz w:val="24"/>
                <w:lang w:bidi="ar"/>
              </w:rPr>
              <w:br w:type="textWrapping"/>
            </w:r>
            <w:r>
              <w:rPr>
                <w:rFonts w:hint="eastAsia" w:ascii="方正楷体_GBK" w:hAnsi="方正楷体_GBK" w:eastAsia="方正楷体_GBK" w:cs="方正楷体_GBK"/>
                <w:color w:val="000000"/>
                <w:kern w:val="0"/>
                <w:sz w:val="24"/>
                <w:lang w:bidi="ar"/>
              </w:rPr>
              <w:t>2.本次评标采用综合评分法，总得分最高者为中选单位。综合评分相等的，以响应报价得分高的优先。响应报价得分也相等的，以方案评分得分高的优先，如果方案评分也相等的，则由评委以投票方式进行表决，确定相等得分的服务单位的排序。</w:t>
            </w:r>
            <w:r>
              <w:rPr>
                <w:rFonts w:hint="eastAsia" w:ascii="方正楷体_GBK" w:hAnsi="方正楷体_GBK" w:eastAsia="方正楷体_GBK" w:cs="方正楷体_GBK"/>
                <w:color w:val="000000"/>
                <w:kern w:val="0"/>
                <w:sz w:val="24"/>
                <w:lang w:bidi="ar"/>
              </w:rPr>
              <w:br w:type="textWrapping"/>
            </w:r>
            <w:r>
              <w:rPr>
                <w:rFonts w:hint="eastAsia" w:ascii="方正楷体_GBK" w:hAnsi="方正楷体_GBK" w:eastAsia="方正楷体_GBK" w:cs="方正楷体_GBK"/>
                <w:color w:val="000000"/>
                <w:kern w:val="0"/>
                <w:sz w:val="24"/>
                <w:lang w:bidi="ar"/>
              </w:rPr>
              <w:t>3.本评分表仅供参考，具体评分项、评分分值、评分内容根据</w:t>
            </w:r>
            <w:r>
              <w:rPr>
                <w:rFonts w:hint="eastAsia" w:ascii="方正楷体_GBK" w:hAnsi="方正楷体_GBK" w:eastAsia="方正楷体_GBK" w:cs="方正楷体_GBK"/>
                <w:color w:val="000000"/>
                <w:kern w:val="0"/>
                <w:sz w:val="24"/>
                <w:lang w:val="zh-CN" w:bidi="ar"/>
              </w:rPr>
              <w:t>项目背景、重难点及技术方法等设置修改</w:t>
            </w:r>
            <w:r>
              <w:rPr>
                <w:rFonts w:hint="eastAsia" w:ascii="方正楷体_GBK" w:hAnsi="方正楷体_GBK" w:eastAsia="方正楷体_GBK" w:cs="方正楷体_GBK"/>
                <w:color w:val="000000"/>
                <w:kern w:val="0"/>
                <w:sz w:val="24"/>
                <w:lang w:bidi="ar"/>
              </w:rPr>
              <w:t>。</w:t>
            </w:r>
          </w:p>
        </w:tc>
      </w:tr>
      <w:tr>
        <w:tblPrEx>
          <w:tblLayout w:type="fixed"/>
          <w:tblCellMar>
            <w:top w:w="15" w:type="dxa"/>
            <w:left w:w="15" w:type="dxa"/>
            <w:bottom w:w="15" w:type="dxa"/>
            <w:right w:w="15" w:type="dxa"/>
          </w:tblCellMar>
        </w:tblPrEx>
        <w:trPr>
          <w:trHeight w:val="163" w:hRule="atLeast"/>
        </w:trPr>
        <w:tc>
          <w:tcPr>
            <w:tcW w:w="628" w:type="dxa"/>
            <w:vAlign w:val="center"/>
          </w:tcPr>
          <w:p>
            <w:pPr>
              <w:rPr>
                <w:rFonts w:hint="eastAsia" w:ascii="宋体" w:hAnsi="宋体" w:cs="宋体"/>
                <w:color w:val="000000"/>
                <w:sz w:val="24"/>
              </w:rPr>
            </w:pPr>
          </w:p>
        </w:tc>
        <w:tc>
          <w:tcPr>
            <w:tcW w:w="614" w:type="dxa"/>
            <w:vAlign w:val="center"/>
          </w:tcPr>
          <w:p>
            <w:pPr>
              <w:rPr>
                <w:rFonts w:hint="eastAsia" w:ascii="宋体" w:hAnsi="宋体" w:cs="宋体"/>
                <w:color w:val="000000"/>
                <w:sz w:val="24"/>
              </w:rPr>
            </w:pPr>
          </w:p>
        </w:tc>
        <w:tc>
          <w:tcPr>
            <w:tcW w:w="763" w:type="dxa"/>
            <w:vAlign w:val="center"/>
          </w:tcPr>
          <w:p>
            <w:pPr>
              <w:rPr>
                <w:rFonts w:hint="eastAsia" w:ascii="宋体" w:hAnsi="宋体" w:cs="宋体"/>
                <w:color w:val="000000"/>
                <w:sz w:val="24"/>
              </w:rPr>
            </w:pPr>
          </w:p>
        </w:tc>
        <w:tc>
          <w:tcPr>
            <w:tcW w:w="6354" w:type="dxa"/>
            <w:vAlign w:val="center"/>
          </w:tcPr>
          <w:p>
            <w:pPr>
              <w:rPr>
                <w:rFonts w:hint="eastAsia" w:ascii="宋体" w:hAnsi="宋体" w:cs="宋体"/>
                <w:color w:val="000000"/>
                <w:sz w:val="24"/>
              </w:rPr>
            </w:pPr>
          </w:p>
        </w:tc>
        <w:tc>
          <w:tcPr>
            <w:tcW w:w="1680" w:type="dxa"/>
            <w:vAlign w:val="center"/>
          </w:tcPr>
          <w:p>
            <w:pPr>
              <w:rPr>
                <w:rFonts w:hint="eastAsia" w:ascii="宋体" w:hAnsi="宋体" w:cs="宋体"/>
                <w:color w:val="000000"/>
                <w:sz w:val="24"/>
              </w:rPr>
            </w:pPr>
          </w:p>
        </w:tc>
        <w:tc>
          <w:tcPr>
            <w:tcW w:w="1034" w:type="dxa"/>
            <w:gridSpan w:val="2"/>
            <w:vAlign w:val="center"/>
          </w:tcPr>
          <w:p>
            <w:pPr>
              <w:rPr>
                <w:rFonts w:hint="eastAsia" w:ascii="宋体" w:hAnsi="宋体" w:cs="宋体"/>
                <w:color w:val="000000"/>
                <w:sz w:val="24"/>
              </w:rPr>
            </w:pPr>
          </w:p>
        </w:tc>
        <w:tc>
          <w:tcPr>
            <w:tcW w:w="3068" w:type="dxa"/>
            <w:gridSpan w:val="3"/>
            <w:vAlign w:val="center"/>
          </w:tcPr>
          <w:p>
            <w:pPr>
              <w:rPr>
                <w:rFonts w:hint="eastAsia" w:ascii="宋体" w:hAnsi="宋体" w:cs="宋体"/>
                <w:color w:val="000000"/>
                <w:sz w:val="24"/>
              </w:rPr>
            </w:pPr>
          </w:p>
        </w:tc>
      </w:tr>
      <w:tr>
        <w:tblPrEx>
          <w:tblLayout w:type="fixed"/>
          <w:tblCellMar>
            <w:top w:w="15" w:type="dxa"/>
            <w:left w:w="15" w:type="dxa"/>
            <w:bottom w:w="15" w:type="dxa"/>
            <w:right w:w="15" w:type="dxa"/>
          </w:tblCellMar>
        </w:tblPrEx>
        <w:trPr>
          <w:trHeight w:val="329" w:hRule="atLeast"/>
        </w:trPr>
        <w:tc>
          <w:tcPr>
            <w:tcW w:w="14141" w:type="dxa"/>
            <w:gridSpan w:val="10"/>
            <w:vAlign w:val="center"/>
          </w:tcPr>
          <w:p>
            <w:pPr>
              <w:widowControl/>
              <w:jc w:val="left"/>
              <w:textAlignment w:val="center"/>
              <w:rPr>
                <w:rFonts w:ascii="Times New Roman" w:hAnsi="Times New Roman" w:eastAsia="仿宋_GB2312"/>
                <w:color w:val="000000"/>
                <w:sz w:val="24"/>
              </w:rPr>
            </w:pPr>
            <w:r>
              <w:rPr>
                <w:rFonts w:ascii="Times New Roman" w:hAnsi="Times New Roman"/>
                <w:color w:val="000000"/>
                <w:kern w:val="0"/>
                <w:sz w:val="24"/>
                <w:lang w:bidi="ar"/>
              </w:rPr>
              <w:t xml:space="preserve">     </w:t>
            </w:r>
            <w:r>
              <w:rPr>
                <w:rFonts w:hint="eastAsia" w:ascii="仿宋_GB2312" w:hAnsi="Times New Roman" w:eastAsia="仿宋_GB2312" w:cs="仿宋_GB2312"/>
                <w:color w:val="000000"/>
                <w:kern w:val="0"/>
                <w:sz w:val="24"/>
                <w:lang w:bidi="ar"/>
              </w:rPr>
              <w:t>综上，经综合评审，</w:t>
            </w:r>
            <w:r>
              <w:rPr>
                <w:rStyle w:val="7"/>
                <w:lang w:bidi="ar"/>
              </w:rPr>
              <w:t>****</w:t>
            </w:r>
            <w:r>
              <w:rPr>
                <w:rFonts w:hint="eastAsia" w:ascii="仿宋_GB2312" w:hAnsi="Times New Roman" w:eastAsia="仿宋_GB2312" w:cs="仿宋_GB2312"/>
                <w:color w:val="000000"/>
                <w:kern w:val="0"/>
                <w:sz w:val="24"/>
                <w:lang w:bidi="ar"/>
              </w:rPr>
              <w:t>为增城老城区、老街区专项调查项目采购中选单位，报价为</w:t>
            </w:r>
            <w:r>
              <w:rPr>
                <w:rFonts w:hint="eastAsia" w:ascii="仿宋_GB2312" w:hAnsi="Times New Roman" w:eastAsia="仿宋_GB2312" w:cs="仿宋_GB2312"/>
                <w:color w:val="000000"/>
                <w:kern w:val="0"/>
                <w:sz w:val="24"/>
                <w:u w:val="single"/>
                <w:lang w:bidi="ar"/>
              </w:rPr>
              <w:t xml:space="preserve">       </w:t>
            </w:r>
            <w:r>
              <w:rPr>
                <w:rFonts w:hint="eastAsia" w:ascii="仿宋_GB2312" w:hAnsi="Times New Roman" w:eastAsia="仿宋_GB2312" w:cs="仿宋_GB2312"/>
                <w:color w:val="000000"/>
                <w:kern w:val="0"/>
                <w:sz w:val="24"/>
                <w:lang w:bidi="ar"/>
              </w:rPr>
              <w:t>元。</w:t>
            </w:r>
          </w:p>
        </w:tc>
      </w:tr>
      <w:tr>
        <w:tblPrEx>
          <w:tblLayout w:type="fixed"/>
          <w:tblCellMar>
            <w:top w:w="15" w:type="dxa"/>
            <w:left w:w="15" w:type="dxa"/>
            <w:bottom w:w="15" w:type="dxa"/>
            <w:right w:w="15" w:type="dxa"/>
          </w:tblCellMar>
        </w:tblPrEx>
        <w:trPr>
          <w:trHeight w:val="386" w:hRule="atLeast"/>
        </w:trPr>
        <w:tc>
          <w:tcPr>
            <w:tcW w:w="14141" w:type="dxa"/>
            <w:gridSpan w:val="10"/>
            <w:vAlign w:val="center"/>
          </w:tcPr>
          <w:p>
            <w:pPr>
              <w:widowControl/>
              <w:jc w:val="left"/>
              <w:textAlignment w:val="center"/>
              <w:rPr>
                <w:rFonts w:ascii="Times New Roman" w:hAnsi="Times New Roman"/>
                <w:color w:val="000000"/>
                <w:sz w:val="24"/>
              </w:rPr>
            </w:pPr>
            <w:r>
              <w:rPr>
                <w:rFonts w:ascii="Times New Roman" w:hAnsi="Times New Roman"/>
                <w:color w:val="000000"/>
                <w:kern w:val="0"/>
                <w:sz w:val="24"/>
                <w:lang w:bidi="ar"/>
              </w:rPr>
              <w:t>评委签名：</w:t>
            </w:r>
          </w:p>
        </w:tc>
      </w:tr>
      <w:tr>
        <w:tblPrEx>
          <w:tblLayout w:type="fixed"/>
          <w:tblCellMar>
            <w:top w:w="15" w:type="dxa"/>
            <w:left w:w="15" w:type="dxa"/>
            <w:bottom w:w="15" w:type="dxa"/>
            <w:right w:w="15" w:type="dxa"/>
          </w:tblCellMar>
        </w:tblPrEx>
        <w:trPr>
          <w:trHeight w:val="247" w:hRule="atLeast"/>
        </w:trPr>
        <w:tc>
          <w:tcPr>
            <w:tcW w:w="14141" w:type="dxa"/>
            <w:gridSpan w:val="10"/>
            <w:vAlign w:val="center"/>
          </w:tcPr>
          <w:p>
            <w:pPr>
              <w:widowControl/>
              <w:jc w:val="right"/>
              <w:textAlignment w:val="center"/>
              <w:rPr>
                <w:rFonts w:ascii="Times New Roman" w:hAnsi="Times New Roman"/>
                <w:color w:val="000000"/>
                <w:sz w:val="24"/>
              </w:rPr>
            </w:pPr>
            <w:r>
              <w:rPr>
                <w:rFonts w:ascii="Times New Roman" w:hAnsi="Times New Roman"/>
                <w:color w:val="000000"/>
                <w:kern w:val="0"/>
                <w:sz w:val="24"/>
                <w:lang w:bidi="ar"/>
              </w:rPr>
              <w:t>日期：</w:t>
            </w:r>
            <w:r>
              <w:rPr>
                <w:rStyle w:val="8"/>
                <w:lang w:bidi="ar"/>
              </w:rPr>
              <w:t>202</w:t>
            </w:r>
            <w:r>
              <w:rPr>
                <w:rStyle w:val="8"/>
                <w:rFonts w:hint="eastAsia"/>
                <w:lang w:bidi="ar"/>
              </w:rPr>
              <w:t>6</w:t>
            </w:r>
            <w:r>
              <w:rPr>
                <w:rFonts w:hint="eastAsia" w:ascii="仿宋_GB2312" w:hAnsi="Times New Roman" w:eastAsia="仿宋_GB2312" w:cs="仿宋_GB2312"/>
                <w:color w:val="000000"/>
                <w:kern w:val="0"/>
                <w:sz w:val="24"/>
                <w:lang w:bidi="ar"/>
              </w:rPr>
              <w:t>年</w:t>
            </w:r>
            <w:r>
              <w:rPr>
                <w:rStyle w:val="8"/>
                <w:lang w:bidi="ar"/>
              </w:rPr>
              <w:t xml:space="preserve">  </w:t>
            </w:r>
            <w:r>
              <w:rPr>
                <w:rFonts w:hint="eastAsia" w:ascii="仿宋_GB2312" w:hAnsi="Times New Roman" w:eastAsia="仿宋_GB2312" w:cs="仿宋_GB2312"/>
                <w:color w:val="000000"/>
                <w:kern w:val="0"/>
                <w:sz w:val="24"/>
                <w:lang w:bidi="ar"/>
              </w:rPr>
              <w:t>月</w:t>
            </w:r>
            <w:r>
              <w:rPr>
                <w:rStyle w:val="8"/>
                <w:lang w:bidi="ar"/>
              </w:rPr>
              <w:t xml:space="preserve">   </w:t>
            </w:r>
            <w:r>
              <w:rPr>
                <w:rFonts w:hint="eastAsia" w:ascii="仿宋_GB2312" w:hAnsi="Times New Roman" w:eastAsia="仿宋_GB2312" w:cs="仿宋_GB2312"/>
                <w:color w:val="000000"/>
                <w:kern w:val="0"/>
                <w:sz w:val="24"/>
                <w:lang w:bidi="ar"/>
              </w:rPr>
              <w:t>日</w:t>
            </w:r>
          </w:p>
        </w:tc>
      </w:tr>
    </w:tbl>
    <w:p>
      <w:pPr>
        <w:jc w:val="center"/>
        <w:rPr>
          <w:rFonts w:hint="eastAsia" w:ascii="仿宋_GB2312" w:hAnsi="宋体" w:eastAsia="仿宋_GB2312" w:cs="仿宋_GB2312"/>
          <w:b/>
          <w:color w:val="000000"/>
          <w:kern w:val="0"/>
          <w:sz w:val="32"/>
          <w:szCs w:val="32"/>
          <w:lang w:bidi="ar"/>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楷体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5818B1"/>
    <w:rsid w:val="001F2A25"/>
    <w:rsid w:val="00771E8E"/>
    <w:rsid w:val="00855B1F"/>
    <w:rsid w:val="00D83663"/>
    <w:rsid w:val="00DE7E10"/>
    <w:rsid w:val="03F519F7"/>
    <w:rsid w:val="1A5818B1"/>
    <w:rsid w:val="2CA70090"/>
    <w:rsid w:val="43FB36A3"/>
    <w:rsid w:val="595A0644"/>
    <w:rsid w:val="5F0E5862"/>
    <w:rsid w:val="74F61E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5">
    <w:name w:val="Default Paragraph Font"/>
    <w:unhideWhenUsed/>
    <w:uiPriority w:val="1"/>
  </w:style>
  <w:style w:type="table" w:default="1" w:styleId="6">
    <w:name w:val="Normal Table"/>
    <w:unhideWhenUsed/>
    <w:uiPriority w:val="99"/>
    <w:tblPr>
      <w:tblLayout w:type="fixed"/>
      <w:tblCellMar>
        <w:top w:w="0" w:type="dxa"/>
        <w:left w:w="108" w:type="dxa"/>
        <w:bottom w:w="0" w:type="dxa"/>
        <w:right w:w="108" w:type="dxa"/>
      </w:tblCellMar>
    </w:tblPr>
  </w:style>
  <w:style w:type="paragraph" w:styleId="3">
    <w:name w:val="footer"/>
    <w:basedOn w:val="1"/>
    <w:link w:val="10"/>
    <w:qFormat/>
    <w:uiPriority w:val="0"/>
    <w:pPr>
      <w:tabs>
        <w:tab w:val="center" w:pos="4153"/>
        <w:tab w:val="right" w:pos="8306"/>
      </w:tabs>
      <w:snapToGrid w:val="0"/>
      <w:spacing w:line="240" w:lineRule="auto"/>
      <w:jc w:val="left"/>
    </w:pPr>
    <w:rPr>
      <w:sz w:val="18"/>
      <w:szCs w:val="18"/>
    </w:rPr>
  </w:style>
  <w:style w:type="paragraph" w:styleId="4">
    <w:name w:val="header"/>
    <w:basedOn w:val="1"/>
    <w:link w:val="9"/>
    <w:qFormat/>
    <w:uiPriority w:val="0"/>
    <w:pPr>
      <w:tabs>
        <w:tab w:val="center" w:pos="4153"/>
        <w:tab w:val="right" w:pos="8306"/>
      </w:tabs>
      <w:snapToGrid w:val="0"/>
      <w:spacing w:line="240" w:lineRule="auto"/>
      <w:jc w:val="center"/>
    </w:pPr>
    <w:rPr>
      <w:sz w:val="18"/>
      <w:szCs w:val="18"/>
    </w:rPr>
  </w:style>
  <w:style w:type="character" w:customStyle="1" w:styleId="7">
    <w:name w:val="font51"/>
    <w:qFormat/>
    <w:uiPriority w:val="0"/>
    <w:rPr>
      <w:rFonts w:hint="default" w:ascii="Times New Roman" w:hAnsi="Times New Roman" w:cs="Times New Roman"/>
      <w:color w:val="000000"/>
      <w:sz w:val="24"/>
      <w:szCs w:val="24"/>
      <w:u w:val="single"/>
    </w:rPr>
  </w:style>
  <w:style w:type="character" w:customStyle="1" w:styleId="8">
    <w:name w:val="font61"/>
    <w:qFormat/>
    <w:uiPriority w:val="0"/>
    <w:rPr>
      <w:rFonts w:hint="default" w:ascii="Times New Roman" w:hAnsi="Times New Roman" w:cs="Times New Roman"/>
      <w:color w:val="000000"/>
      <w:sz w:val="24"/>
      <w:szCs w:val="24"/>
      <w:u w:val="none"/>
    </w:rPr>
  </w:style>
  <w:style w:type="character" w:customStyle="1" w:styleId="9">
    <w:name w:val="页眉 字符"/>
    <w:basedOn w:val="5"/>
    <w:link w:val="4"/>
    <w:qFormat/>
    <w:uiPriority w:val="0"/>
    <w:rPr>
      <w:kern w:val="2"/>
      <w:sz w:val="18"/>
      <w:szCs w:val="18"/>
    </w:rPr>
  </w:style>
  <w:style w:type="character" w:customStyle="1" w:styleId="10">
    <w:name w:val="页脚 字符"/>
    <w:basedOn w:val="5"/>
    <w:link w:val="3"/>
    <w:qFormat/>
    <w:uiPriority w:val="0"/>
    <w:rPr>
      <w:kern w:val="2"/>
      <w:sz w:val="18"/>
      <w:szCs w:val="18"/>
    </w:rPr>
  </w:style>
  <w:style w:type="paragraph" w:customStyle="1" w:styleId="11">
    <w:name w:val="Revision"/>
    <w:hidden/>
    <w:unhideWhenUsed/>
    <w:qFormat/>
    <w:uiPriority w:val="99"/>
    <w:pPr>
      <w:spacing w:after="0" w:line="240" w:lineRule="auto"/>
    </w:pPr>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1150</Words>
  <Characters>1188</Characters>
  <Lines>9</Lines>
  <Paragraphs>2</Paragraphs>
  <TotalTime>0</TotalTime>
  <ScaleCrop>false</ScaleCrop>
  <LinksUpToDate>false</LinksUpToDate>
  <CharactersWithSpaces>1205</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2026-03-02T06:21:00Z</dcterms:created>
  <dc:creator>刘翠娴</dc:creator>
  <cp:lastModifiedBy>刘翠娴</cp:lastModifiedBy>
  <dcterms:modified xsi:type="dcterms:W3CDTF">2026-04-20T07:44:39Z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y fmtid="{D5CDD505-2E9C-101B-9397-08002B2CF9AE}" pid="3" name="KSOTemplateDocerSaveRecord">
    <vt:lpwstr>eyJoZGlkIjoiZDUxMDAyZTVmOTRjMjc0OTQ4NTBlZDFlYjk1NmM4YTAiLCJ1c2VySWQiOiIyODA1MDQ3NzYifQ==</vt:lpwstr>
  </property>
  <property fmtid="{D5CDD505-2E9C-101B-9397-08002B2CF9AE}" pid="4" name="ICV">
    <vt:lpwstr>E59610605FFB47A7A85145C5AD980687_12</vt:lpwstr>
  </property>
</Properties>
</file>