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广州市人民政府决定调整由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增城区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实施的市级行政职权目录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（委托类规划和自然资源领域事项）</w:t>
      </w:r>
    </w:p>
    <w:tbl>
      <w:tblPr>
        <w:tblStyle w:val="3"/>
        <w:tblpPr w:leftFromText="180" w:rightFromText="180" w:vertAnchor="text" w:horzAnchor="page" w:tblpXSpec="center" w:tblpY="643"/>
        <w:tblOverlap w:val="never"/>
        <w:tblW w:w="13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3306"/>
        <w:gridCol w:w="1746"/>
        <w:gridCol w:w="2809"/>
        <w:gridCol w:w="2059"/>
        <w:gridCol w:w="3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tblHeader/>
          <w:jc w:val="center"/>
        </w:trPr>
        <w:tc>
          <w:tcPr>
            <w:tcW w:w="672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00" w:lineRule="exact"/>
              <w:ind w:left="38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306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00" w:lineRule="exact"/>
              <w:ind w:left="25" w:leftChars="12" w:right="25" w:rightChars="12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事项名称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00" w:lineRule="exact"/>
              <w:ind w:left="39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事项类别</w:t>
            </w:r>
          </w:p>
        </w:tc>
        <w:tc>
          <w:tcPr>
            <w:tcW w:w="280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00" w:lineRule="exact"/>
              <w:ind w:left="78" w:right="43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市级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实施单位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00" w:lineRule="exact"/>
              <w:ind w:left="78" w:right="43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承接单位</w:t>
            </w:r>
          </w:p>
        </w:tc>
        <w:tc>
          <w:tcPr>
            <w:tcW w:w="3406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00" w:lineRule="exact"/>
              <w:ind w:left="78" w:right="43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国有建设用地使用审批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pStyle w:val="5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其他行政权力</w:t>
            </w:r>
          </w:p>
        </w:tc>
        <w:tc>
          <w:tcPr>
            <w:tcW w:w="280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市政府（由市规划和自然资源局具体实施）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增城区政府</w:t>
            </w:r>
          </w:p>
        </w:tc>
        <w:tc>
          <w:tcPr>
            <w:tcW w:w="34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76" w:leftChars="36" w:right="58" w:righ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3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收回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国有土地使用权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pStyle w:val="5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其他行政权力</w:t>
            </w:r>
          </w:p>
        </w:tc>
        <w:tc>
          <w:tcPr>
            <w:tcW w:w="280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市政府（由市规划和自然资源局具体实施）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增城区政府</w:t>
            </w:r>
          </w:p>
        </w:tc>
        <w:tc>
          <w:tcPr>
            <w:tcW w:w="34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3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闲置土地处置方案审批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pStyle w:val="5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其他行政权力</w:t>
            </w:r>
          </w:p>
        </w:tc>
        <w:tc>
          <w:tcPr>
            <w:tcW w:w="280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市政府（由市规划和自然资源局具体实施）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增城区政府</w:t>
            </w:r>
          </w:p>
        </w:tc>
        <w:tc>
          <w:tcPr>
            <w:tcW w:w="34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33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控制性详细规划审批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pStyle w:val="5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其他行政权力</w:t>
            </w:r>
          </w:p>
        </w:tc>
        <w:tc>
          <w:tcPr>
            <w:tcW w:w="280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市政府（由市规划和自然资源局具体实施）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增城区政府</w:t>
            </w:r>
          </w:p>
        </w:tc>
        <w:tc>
          <w:tcPr>
            <w:tcW w:w="34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right="58" w:right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仅限增城经济技术开发区以外不含重点片区、市级储备用地的区域。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5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33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控制性详细规划局部修正审批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pStyle w:val="5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其他行政权力</w:t>
            </w:r>
          </w:p>
        </w:tc>
        <w:tc>
          <w:tcPr>
            <w:tcW w:w="280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市政府（由市规划和自然资源局具体实施）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0" w:right="58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增城区政府</w:t>
            </w:r>
          </w:p>
        </w:tc>
        <w:tc>
          <w:tcPr>
            <w:tcW w:w="3406" w:type="dxa"/>
            <w:noWrap w:val="0"/>
            <w:vAlign w:val="center"/>
          </w:tcPr>
          <w:p>
            <w:pPr>
              <w:pStyle w:val="5"/>
              <w:widowControl/>
              <w:spacing w:before="64" w:line="300" w:lineRule="exact"/>
              <w:ind w:left="90" w:leftChars="43" w:right="58" w:righ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仅限基础设施类、公共服务设施类、产业区块内工业用地的控制性详细规划局部修正审批，“因控制性详细规划的信息错漏需要更正控制性详细规划相关信息的”情形和跨区项目除外。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519" w:right="1440" w:bottom="140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公文小标宋简">
    <w:altName w:val="方正小标宋简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00F11"/>
    <w:rsid w:val="0A70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eastAsia="公文小标宋简"/>
      <w:sz w:val="44"/>
    </w:rPr>
  </w:style>
  <w:style w:type="paragraph" w:customStyle="1" w:styleId="5">
    <w:name w:val="Table Paragraph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2026-08-12T01:41:00Z</dcterms:created>
  <dc:creator>刘瑞欣</dc:creator>
  <cp:lastModifiedBy>刘瑞欣</cp:lastModifiedBy>
  <dcterms:modified xsi:type="dcterms:W3CDTF">2026-08-12T01:42:02Z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